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8B0007" w14:textId="63E8FECD" w:rsidR="001C4EA2" w:rsidRPr="00ED62DC" w:rsidRDefault="00C727EC" w:rsidP="006B5B32">
      <w:pPr>
        <w:spacing w:line="240" w:lineRule="auto"/>
        <w:rPr>
          <w:rFonts w:ascii="Times New Roman" w:hAnsi="Times New Roman" w:cs="Times New Roman"/>
          <w:b/>
          <w:bCs/>
          <w:color w:val="000000" w:themeColor="text1"/>
          <w:sz w:val="28"/>
          <w:szCs w:val="28"/>
        </w:rPr>
      </w:pPr>
      <w:r w:rsidRPr="00ED62DC">
        <w:rPr>
          <w:rFonts w:ascii="Times New Roman" w:hAnsi="Times New Roman" w:cs="Times New Roman"/>
          <w:b/>
          <w:bCs/>
          <w:noProof/>
          <w:color w:val="000000" w:themeColor="text1"/>
          <w:sz w:val="28"/>
          <w:szCs w:val="28"/>
          <w:lang w:eastAsia="en-IN"/>
        </w:rPr>
        <mc:AlternateContent>
          <mc:Choice Requires="wps">
            <w:drawing>
              <wp:anchor distT="0" distB="0" distL="114300" distR="114300" simplePos="0" relativeHeight="251662336" behindDoc="0" locked="0" layoutInCell="1" allowOverlap="1" wp14:anchorId="4042F8B0" wp14:editId="014AD2D0">
                <wp:simplePos x="0" y="0"/>
                <wp:positionH relativeFrom="column">
                  <wp:posOffset>-76199</wp:posOffset>
                </wp:positionH>
                <wp:positionV relativeFrom="paragraph">
                  <wp:posOffset>928255</wp:posOffset>
                </wp:positionV>
                <wp:extent cx="6024130" cy="0"/>
                <wp:effectExtent l="0" t="0" r="0" b="0"/>
                <wp:wrapNone/>
                <wp:docPr id="437353510" name="Straight Connector 1"/>
                <wp:cNvGraphicFramePr/>
                <a:graphic xmlns:a="http://schemas.openxmlformats.org/drawingml/2006/main">
                  <a:graphicData uri="http://schemas.microsoft.com/office/word/2010/wordprocessingShape">
                    <wps:wsp>
                      <wps:cNvCnPr/>
                      <wps:spPr>
                        <a:xfrm>
                          <a:off x="0" y="0"/>
                          <a:ext cx="6024130"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CAB7F18"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73.1pt" to="468.35pt,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" strokecolor="black [3213]" strokeweight="1pt">
                <v:stroke joinstyle="miter"/>
              </v:line>
            </w:pict>
          </mc:Fallback>
        </mc:AlternateContent>
      </w:r>
      <w:r w:rsidRPr="00ED62DC">
        <w:rPr>
          <w:rFonts w:ascii="Times New Roman" w:hAnsi="Times New Roman" w:cs="Times New Roman"/>
          <w:b/>
          <w:bCs/>
          <w:noProof/>
          <w:color w:val="000000" w:themeColor="text1"/>
          <w:sz w:val="28"/>
          <w:szCs w:val="28"/>
          <w:lang w:eastAsia="en-IN"/>
        </w:rPr>
        <mc:AlternateContent>
          <mc:Choice Requires="wps">
            <w:drawing>
              <wp:anchor distT="0" distB="0" distL="114300" distR="114300" simplePos="0" relativeHeight="251664384" behindDoc="0" locked="0" layoutInCell="1" allowOverlap="1" wp14:anchorId="1215E677" wp14:editId="141739A9">
                <wp:simplePos x="0" y="0"/>
                <wp:positionH relativeFrom="column">
                  <wp:posOffset>-77470</wp:posOffset>
                </wp:positionH>
                <wp:positionV relativeFrom="paragraph">
                  <wp:posOffset>977842</wp:posOffset>
                </wp:positionV>
                <wp:extent cx="6010275" cy="0"/>
                <wp:effectExtent l="0" t="19050" r="28575" b="19050"/>
                <wp:wrapNone/>
                <wp:docPr id="1660260709"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w="285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2A6C440"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pt,77pt" to="467.1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" strokecolor="black [3213]" strokeweight="2.25pt">
                <v:stroke joinstyle="miter"/>
              </v:line>
            </w:pict>
          </mc:Fallback>
        </mc:AlternateContent>
      </w:r>
      <w:r w:rsidRPr="00ED62DC">
        <w:rPr>
          <w:rFonts w:ascii="Times New Roman" w:hAnsi="Times New Roman" w:cs="Times New Roman"/>
          <w:b/>
          <w:bCs/>
          <w:noProof/>
          <w:color w:val="000000" w:themeColor="text1"/>
          <w:sz w:val="28"/>
          <w:szCs w:val="28"/>
          <w:lang w:eastAsia="en-IN"/>
        </w:rPr>
        <mc:AlternateContent>
          <mc:Choice Requires="wps">
            <w:drawing>
              <wp:anchor distT="0" distB="0" distL="114300" distR="114300" simplePos="0" relativeHeight="251660288" behindDoc="0" locked="0" layoutInCell="1" allowOverlap="1" wp14:anchorId="4C258D6F" wp14:editId="657FE061">
                <wp:simplePos x="0" y="0"/>
                <wp:positionH relativeFrom="column">
                  <wp:posOffset>-88900</wp:posOffset>
                </wp:positionH>
                <wp:positionV relativeFrom="paragraph">
                  <wp:posOffset>129482</wp:posOffset>
                </wp:positionV>
                <wp:extent cx="6010275" cy="0"/>
                <wp:effectExtent l="0" t="0" r="0" b="0"/>
                <wp:wrapNone/>
                <wp:docPr id="435408549"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0CFCED6"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10.2pt" to="466.2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" strokecolor="black [3213]" strokeweight="1pt">
                <v:stroke joinstyle="miter"/>
              </v:line>
            </w:pict>
          </mc:Fallback>
        </mc:AlternateContent>
      </w:r>
      <w:r w:rsidRPr="00ED62DC">
        <w:rPr>
          <w:rFonts w:ascii="Times New Roman" w:hAnsi="Times New Roman" w:cs="Times New Roman"/>
          <w:b/>
          <w:bCs/>
          <w:noProof/>
          <w:color w:val="000000" w:themeColor="text1"/>
          <w:sz w:val="28"/>
          <w:szCs w:val="28"/>
          <w:lang w:eastAsia="en-IN"/>
        </w:rPr>
        <mc:AlternateContent>
          <mc:Choice Requires="wps">
            <w:drawing>
              <wp:anchor distT="45720" distB="45720" distL="114300" distR="114300" simplePos="0" relativeHeight="251659264" behindDoc="0" locked="0" layoutInCell="1" allowOverlap="1" wp14:anchorId="4AF51C54" wp14:editId="136B2744">
                <wp:simplePos x="0" y="0"/>
                <wp:positionH relativeFrom="column">
                  <wp:posOffset>-132080</wp:posOffset>
                </wp:positionH>
                <wp:positionV relativeFrom="paragraph">
                  <wp:posOffset>58</wp:posOffset>
                </wp:positionV>
                <wp:extent cx="6143625" cy="99568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995680"/>
                        </a:xfrm>
                        <a:prstGeom prst="rect">
                          <a:avLst/>
                        </a:prstGeom>
                        <a:solidFill>
                          <a:srgbClr val="FFFFFF"/>
                        </a:solidFill>
                        <a:ln w="9525">
                          <a:noFill/>
                          <a:miter lim="800000"/>
                          <a:headEnd/>
                          <a:tailEnd/>
                        </a:ln>
                      </wps:spPr>
                      <wps:txbx>
                        <w:txbxContent>
                          <w:p w14:paraId="77B25417" w14:textId="77777777" w:rsidR="00C727EC" w:rsidRPr="00C727EC" w:rsidRDefault="00C727EC">
                            <w:pPr>
                              <w:rPr>
                                <w:sz w:val="2"/>
                                <w:szCs w:val="2"/>
                              </w:rPr>
                            </w:pPr>
                          </w:p>
                          <w:tbl>
                            <w:tblPr>
                              <w:tblStyle w:val="TableGrid"/>
                              <w:tblW w:w="9781" w:type="dxa"/>
                              <w:jc w:val="center"/>
                              <w:tblLayout w:type="fixed"/>
                              <w:tblLook w:val="04A0" w:firstRow="1" w:lastRow="0" w:firstColumn="1" w:lastColumn="0" w:noHBand="0" w:noVBand="1"/>
                            </w:tblPr>
                            <w:tblGrid>
                              <w:gridCol w:w="8010"/>
                              <w:gridCol w:w="1771"/>
                            </w:tblGrid>
                            <w:tr w:rsidR="009D1B40" w:rsidRPr="00D9158A" w14:paraId="7288C9A1" w14:textId="77777777" w:rsidTr="00C727EC">
                              <w:trPr>
                                <w:trHeight w:val="1185"/>
                                <w:jc w:val="center"/>
                              </w:trPr>
                              <w:tc>
                                <w:tcPr>
                                  <w:tcW w:w="8010" w:type="dxa"/>
                                  <w:tcBorders>
                                    <w:top w:val="nil"/>
                                    <w:left w:val="nil"/>
                                    <w:bottom w:val="nil"/>
                                    <w:right w:val="nil"/>
                                  </w:tcBorders>
                                </w:tcPr>
                                <w:p w14:paraId="0872F9DA" w14:textId="77777777" w:rsidR="009D1B40" w:rsidRPr="00EB639D" w:rsidRDefault="00AE22E6" w:rsidP="00EB6F5E">
                                  <w:pPr>
                                    <w:pStyle w:val="Header"/>
                                    <w:tabs>
                                      <w:tab w:val="clear" w:pos="4513"/>
                                      <w:tab w:val="clear" w:pos="9026"/>
                                    </w:tabs>
                                    <w:ind w:left="1440"/>
                                    <w:jc w:val="center"/>
                                    <w:rPr>
                                      <w:rFonts w:cs="Times New Roman"/>
                                      <w:b/>
                                      <w:bCs/>
                                      <w:color w:val="000000" w:themeColor="text1"/>
                                      <w:sz w:val="18"/>
                                      <w:szCs w:val="16"/>
                                    </w:rPr>
                                  </w:pPr>
                                  <w:hyperlink r:id="rId8">
                                    <w:r w:rsidR="009D1B40" w:rsidRPr="00EB639D">
                                      <w:rPr>
                                        <w:rStyle w:val="Hyperlink"/>
                                        <w:rFonts w:cs="Times New Roman"/>
                                        <w:b/>
                                        <w:bCs/>
                                        <w:color w:val="000000" w:themeColor="text1"/>
                                        <w:sz w:val="18"/>
                                        <w:szCs w:val="16"/>
                                        <w:u w:val="none"/>
                                      </w:rPr>
                                      <w:t>https://epubs.icar.org.in/index.php/IJSS</w:t>
                                    </w:r>
                                  </w:hyperlink>
                                </w:p>
                                <w:p w14:paraId="3DE7C968" w14:textId="77777777" w:rsidR="009D1B40" w:rsidRPr="00D9158A" w:rsidRDefault="009D1B40" w:rsidP="009D1B40">
                                  <w:pPr>
                                    <w:pStyle w:val="Header"/>
                                    <w:tabs>
                                      <w:tab w:val="clear" w:pos="4513"/>
                                      <w:tab w:val="clear" w:pos="9026"/>
                                    </w:tabs>
                                    <w:jc w:val="center"/>
                                    <w:rPr>
                                      <w:rFonts w:cs="Times New Roman"/>
                                      <w:color w:val="000000" w:themeColor="text1"/>
                                      <w:sz w:val="10"/>
                                      <w:szCs w:val="10"/>
                                    </w:rPr>
                                  </w:pPr>
                                </w:p>
                                <w:p w14:paraId="002670E1" w14:textId="77777777" w:rsidR="009D1B40" w:rsidRPr="00D9158A" w:rsidRDefault="00AE22E6" w:rsidP="00EB6F5E">
                                  <w:pPr>
                                    <w:pStyle w:val="Header"/>
                                    <w:tabs>
                                      <w:tab w:val="clear" w:pos="4513"/>
                                      <w:tab w:val="clear" w:pos="9026"/>
                                    </w:tabs>
                                    <w:ind w:left="720"/>
                                    <w:jc w:val="center"/>
                                    <w:rPr>
                                      <w:rFonts w:cs="Times New Roman"/>
                                      <w:color w:val="000000" w:themeColor="text1"/>
                                      <w:sz w:val="28"/>
                                      <w:szCs w:val="28"/>
                                    </w:rPr>
                                  </w:pPr>
                                  <w:hyperlink r:id="rId9">
                                    <w:r w:rsidR="009D1B40" w:rsidRPr="00D9158A">
                                      <w:rPr>
                                        <w:rStyle w:val="Hyperlink"/>
                                        <w:rFonts w:cs="Times New Roman"/>
                                        <w:b/>
                                        <w:bCs/>
                                        <w:color w:val="000000" w:themeColor="text1"/>
                                        <w:sz w:val="28"/>
                                        <w:szCs w:val="28"/>
                                        <w:u w:val="none"/>
                                      </w:rPr>
                                      <w:t>International Journal of Seed Spices</w:t>
                                    </w:r>
                                  </w:hyperlink>
                                  <w:r w:rsidR="009D1B40" w:rsidRPr="00D9158A">
                                    <w:rPr>
                                      <w:rFonts w:cs="Times New Roman"/>
                                    </w:rPr>
                                    <w:t xml:space="preserve"> </w:t>
                                  </w:r>
                                  <w:r w:rsidR="009D1B40" w:rsidRPr="00D9158A">
                                    <w:rPr>
                                      <w:rStyle w:val="Hyperlink"/>
                                      <w:rFonts w:cs="Times New Roman"/>
                                      <w:b/>
                                      <w:bCs/>
                                      <w:color w:val="000000" w:themeColor="text1"/>
                                      <w:sz w:val="28"/>
                                      <w:szCs w:val="28"/>
                                      <w:u w:val="none"/>
                                    </w:rPr>
                                    <w:t>(IJSS)</w:t>
                                  </w:r>
                                </w:p>
                                <w:p w14:paraId="5DC50FE6" w14:textId="77777777" w:rsidR="009D1B40" w:rsidRPr="00D9158A" w:rsidRDefault="009D1B40" w:rsidP="009D1B40">
                                  <w:pPr>
                                    <w:pStyle w:val="Header"/>
                                    <w:tabs>
                                      <w:tab w:val="clear" w:pos="4513"/>
                                      <w:tab w:val="clear" w:pos="9026"/>
                                    </w:tabs>
                                    <w:jc w:val="center"/>
                                    <w:rPr>
                                      <w:rFonts w:cs="Times New Roman"/>
                                      <w:color w:val="000000" w:themeColor="text1"/>
                                      <w:sz w:val="10"/>
                                      <w:szCs w:val="10"/>
                                    </w:rPr>
                                  </w:pPr>
                                </w:p>
                                <w:p w14:paraId="6BFFD22E" w14:textId="77777777" w:rsidR="009D1B40" w:rsidRPr="00D9158A" w:rsidRDefault="009D1B40" w:rsidP="009D1B40">
                                  <w:pPr>
                                    <w:pStyle w:val="Header"/>
                                    <w:tabs>
                                      <w:tab w:val="clear" w:pos="4513"/>
                                      <w:tab w:val="clear" w:pos="9026"/>
                                    </w:tabs>
                                    <w:jc w:val="center"/>
                                    <w:rPr>
                                      <w:rFonts w:cs="Times New Roman"/>
                                      <w:color w:val="000000" w:themeColor="text1"/>
                                      <w:sz w:val="10"/>
                                      <w:szCs w:val="10"/>
                                    </w:rPr>
                                  </w:pPr>
                                </w:p>
                                <w:p w14:paraId="502F1EF4" w14:textId="77777777" w:rsidR="009D1B40" w:rsidRPr="00D9158A" w:rsidRDefault="009D1B40" w:rsidP="00EB6F5E">
                                  <w:pPr>
                                    <w:ind w:left="1440"/>
                                    <w:jc w:val="center"/>
                                    <w:rPr>
                                      <w:rFonts w:ascii="Times New Roman" w:hAnsi="Times New Roman" w:cs="Times New Roman"/>
                                      <w:sz w:val="20"/>
                                      <w:szCs w:val="20"/>
                                    </w:rPr>
                                  </w:pPr>
                                  <w:r w:rsidRPr="00D9158A">
                                    <w:rPr>
                                      <w:rFonts w:ascii="Times New Roman" w:eastAsia="Times New Roman" w:hAnsi="Times New Roman" w:cs="Times New Roman"/>
                                      <w:b/>
                                      <w:bCs/>
                                      <w:kern w:val="0"/>
                                      <w:sz w:val="20"/>
                                      <w:szCs w:val="20"/>
                                    </w:rPr>
                                    <w:t>Vol. 16 (1): June 2026</w:t>
                                  </w:r>
                                </w:p>
                              </w:tc>
                              <w:tc>
                                <w:tcPr>
                                  <w:tcW w:w="1771" w:type="dxa"/>
                                  <w:tcBorders>
                                    <w:top w:val="nil"/>
                                    <w:left w:val="nil"/>
                                    <w:bottom w:val="nil"/>
                                    <w:right w:val="nil"/>
                                  </w:tcBorders>
                                </w:tcPr>
                                <w:p w14:paraId="3AC35460" w14:textId="64B03D9B" w:rsidR="009D1B40" w:rsidRPr="00D9158A" w:rsidRDefault="009D1B40" w:rsidP="00C727EC">
                                  <w:pPr>
                                    <w:pStyle w:val="Header"/>
                                    <w:jc w:val="center"/>
                                    <w:rPr>
                                      <w:rFonts w:cs="Times New Roman"/>
                                    </w:rPr>
                                  </w:pPr>
                                  <w:r w:rsidRPr="00D9158A">
                                    <w:rPr>
                                      <w:rFonts w:cs="Times New Roman"/>
                                      <w:noProof/>
                                    </w:rPr>
                                    <w:drawing>
                                      <wp:inline distT="0" distB="0" distL="0" distR="0" wp14:anchorId="04AC0EC4" wp14:editId="17B0E0F2">
                                        <wp:extent cx="636905" cy="719789"/>
                                        <wp:effectExtent l="0" t="0" r="0" b="4445"/>
                                        <wp:docPr id="1" name="Picture 7"/>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r:embed="rId10"/>
                                                <a:stretch/>
                                              </pic:blipFill>
                                              <pic:spPr>
                                                <a:xfrm>
                                                  <a:off x="0" y="0"/>
                                                  <a:ext cx="644833" cy="728749"/>
                                                </a:xfrm>
                                                <a:prstGeom prst="rect">
                                                  <a:avLst/>
                                                </a:prstGeom>
                                                <a:noFill/>
                                                <a:ln w="0">
                                                  <a:noFill/>
                                                </a:ln>
                                              </pic:spPr>
                                            </pic:pic>
                                          </a:graphicData>
                                        </a:graphic>
                                      </wp:inline>
                                    </w:drawing>
                                  </w:r>
                                </w:p>
                              </w:tc>
                            </w:tr>
                          </w:tbl>
                          <w:p w14:paraId="30E1182E" w14:textId="7EBDB416" w:rsidR="00103FEA" w:rsidRDefault="00103F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F51C54" id="_x0000_t202" coordsize="21600,21600" o:spt="202" path="m,l,21600r21600,l21600,xe">
                <v:stroke joinstyle="miter"/>
                <v:path gradientshapeok="t" o:connecttype="rect"/>
              </v:shapetype>
              <v:shape id="Text Box 2" o:spid="_x0000_s1026" type="#_x0000_t202" style="position:absolute;margin-left:-10.4pt;margin-top:0;width:483.75pt;height:78.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" stroked="f">
                <v:textbox>
                  <w:txbxContent>
                    <w:p w14:paraId="77B25417" w14:textId="77777777" w:rsidR="00C727EC" w:rsidRPr="00C727EC" w:rsidRDefault="00C727EC">
                      <w:pPr>
                        <w:rPr>
                          <w:sz w:val="2"/>
                          <w:szCs w:val="2"/>
                        </w:rPr>
                      </w:pPr>
                    </w:p>
                    <w:tbl>
                      <w:tblPr>
                        <w:tblStyle w:val="TableGrid"/>
                        <w:tblW w:w="9781" w:type="dxa"/>
                        <w:jc w:val="center"/>
                        <w:tblLayout w:type="fixed"/>
                        <w:tblLook w:val="04A0" w:firstRow="1" w:lastRow="0" w:firstColumn="1" w:lastColumn="0" w:noHBand="0" w:noVBand="1"/>
                      </w:tblPr>
                      <w:tblGrid>
                        <w:gridCol w:w="8010"/>
                        <w:gridCol w:w="1771"/>
                      </w:tblGrid>
                      <w:tr w:rsidR="009D1B40" w:rsidRPr="00D9158A" w14:paraId="7288C9A1" w14:textId="77777777" w:rsidTr="00C727EC">
                        <w:trPr>
                          <w:trHeight w:val="1185"/>
                          <w:jc w:val="center"/>
                        </w:trPr>
                        <w:tc>
                          <w:tcPr>
                            <w:tcW w:w="8010" w:type="dxa"/>
                            <w:tcBorders>
                              <w:top w:val="nil"/>
                              <w:left w:val="nil"/>
                              <w:bottom w:val="nil"/>
                              <w:right w:val="nil"/>
                            </w:tcBorders>
                          </w:tcPr>
                          <w:p w14:paraId="0872F9DA" w14:textId="77777777" w:rsidR="009D1B40" w:rsidRPr="00EB639D" w:rsidRDefault="00AE22E6" w:rsidP="00EB6F5E">
                            <w:pPr>
                              <w:pStyle w:val="Header"/>
                              <w:tabs>
                                <w:tab w:val="clear" w:pos="4513"/>
                                <w:tab w:val="clear" w:pos="9026"/>
                              </w:tabs>
                              <w:ind w:left="1440"/>
                              <w:jc w:val="center"/>
                              <w:rPr>
                                <w:rFonts w:cs="Times New Roman"/>
                                <w:b/>
                                <w:bCs/>
                                <w:color w:val="000000" w:themeColor="text1"/>
                                <w:sz w:val="18"/>
                                <w:szCs w:val="16"/>
                              </w:rPr>
                            </w:pPr>
                            <w:hyperlink r:id="rId11">
                              <w:r w:rsidR="009D1B40" w:rsidRPr="00EB639D">
                                <w:rPr>
                                  <w:rStyle w:val="Hyperlink"/>
                                  <w:rFonts w:cs="Times New Roman"/>
                                  <w:b/>
                                  <w:bCs/>
                                  <w:color w:val="000000" w:themeColor="text1"/>
                                  <w:sz w:val="18"/>
                                  <w:szCs w:val="16"/>
                                  <w:u w:val="none"/>
                                </w:rPr>
                                <w:t>https://epubs.icar.org.in/index.php/IJSS</w:t>
                              </w:r>
                            </w:hyperlink>
                          </w:p>
                          <w:p w14:paraId="3DE7C968" w14:textId="77777777" w:rsidR="009D1B40" w:rsidRPr="00D9158A" w:rsidRDefault="009D1B40" w:rsidP="009D1B40">
                            <w:pPr>
                              <w:pStyle w:val="Header"/>
                              <w:tabs>
                                <w:tab w:val="clear" w:pos="4513"/>
                                <w:tab w:val="clear" w:pos="9026"/>
                              </w:tabs>
                              <w:jc w:val="center"/>
                              <w:rPr>
                                <w:rFonts w:cs="Times New Roman"/>
                                <w:color w:val="000000" w:themeColor="text1"/>
                                <w:sz w:val="10"/>
                                <w:szCs w:val="10"/>
                              </w:rPr>
                            </w:pPr>
                          </w:p>
                          <w:p w14:paraId="002670E1" w14:textId="77777777" w:rsidR="009D1B40" w:rsidRPr="00D9158A" w:rsidRDefault="00AE22E6" w:rsidP="00EB6F5E">
                            <w:pPr>
                              <w:pStyle w:val="Header"/>
                              <w:tabs>
                                <w:tab w:val="clear" w:pos="4513"/>
                                <w:tab w:val="clear" w:pos="9026"/>
                              </w:tabs>
                              <w:ind w:left="720"/>
                              <w:jc w:val="center"/>
                              <w:rPr>
                                <w:rFonts w:cs="Times New Roman"/>
                                <w:color w:val="000000" w:themeColor="text1"/>
                                <w:sz w:val="28"/>
                                <w:szCs w:val="28"/>
                              </w:rPr>
                            </w:pPr>
                            <w:hyperlink r:id="rId12">
                              <w:r w:rsidR="009D1B40" w:rsidRPr="00D9158A">
                                <w:rPr>
                                  <w:rStyle w:val="Hyperlink"/>
                                  <w:rFonts w:cs="Times New Roman"/>
                                  <w:b/>
                                  <w:bCs/>
                                  <w:color w:val="000000" w:themeColor="text1"/>
                                  <w:sz w:val="28"/>
                                  <w:szCs w:val="28"/>
                                  <w:u w:val="none"/>
                                </w:rPr>
                                <w:t>International Journal of Seed Spices</w:t>
                              </w:r>
                            </w:hyperlink>
                            <w:r w:rsidR="009D1B40" w:rsidRPr="00D9158A">
                              <w:rPr>
                                <w:rFonts w:cs="Times New Roman"/>
                              </w:rPr>
                              <w:t xml:space="preserve"> </w:t>
                            </w:r>
                            <w:r w:rsidR="009D1B40" w:rsidRPr="00D9158A">
                              <w:rPr>
                                <w:rStyle w:val="Hyperlink"/>
                                <w:rFonts w:cs="Times New Roman"/>
                                <w:b/>
                                <w:bCs/>
                                <w:color w:val="000000" w:themeColor="text1"/>
                                <w:sz w:val="28"/>
                                <w:szCs w:val="28"/>
                                <w:u w:val="none"/>
                              </w:rPr>
                              <w:t>(IJSS)</w:t>
                            </w:r>
                          </w:p>
                          <w:p w14:paraId="5DC50FE6" w14:textId="77777777" w:rsidR="009D1B40" w:rsidRPr="00D9158A" w:rsidRDefault="009D1B40" w:rsidP="009D1B40">
                            <w:pPr>
                              <w:pStyle w:val="Header"/>
                              <w:tabs>
                                <w:tab w:val="clear" w:pos="4513"/>
                                <w:tab w:val="clear" w:pos="9026"/>
                              </w:tabs>
                              <w:jc w:val="center"/>
                              <w:rPr>
                                <w:rFonts w:cs="Times New Roman"/>
                                <w:color w:val="000000" w:themeColor="text1"/>
                                <w:sz w:val="10"/>
                                <w:szCs w:val="10"/>
                              </w:rPr>
                            </w:pPr>
                          </w:p>
                          <w:p w14:paraId="6BFFD22E" w14:textId="77777777" w:rsidR="009D1B40" w:rsidRPr="00D9158A" w:rsidRDefault="009D1B40" w:rsidP="009D1B40">
                            <w:pPr>
                              <w:pStyle w:val="Header"/>
                              <w:tabs>
                                <w:tab w:val="clear" w:pos="4513"/>
                                <w:tab w:val="clear" w:pos="9026"/>
                              </w:tabs>
                              <w:jc w:val="center"/>
                              <w:rPr>
                                <w:rFonts w:cs="Times New Roman"/>
                                <w:color w:val="000000" w:themeColor="text1"/>
                                <w:sz w:val="10"/>
                                <w:szCs w:val="10"/>
                              </w:rPr>
                            </w:pPr>
                          </w:p>
                          <w:p w14:paraId="502F1EF4" w14:textId="77777777" w:rsidR="009D1B40" w:rsidRPr="00D9158A" w:rsidRDefault="009D1B40" w:rsidP="00EB6F5E">
                            <w:pPr>
                              <w:ind w:left="1440"/>
                              <w:jc w:val="center"/>
                              <w:rPr>
                                <w:rFonts w:ascii="Times New Roman" w:hAnsi="Times New Roman" w:cs="Times New Roman"/>
                                <w:sz w:val="20"/>
                                <w:szCs w:val="20"/>
                              </w:rPr>
                            </w:pPr>
                            <w:r w:rsidRPr="00D9158A">
                              <w:rPr>
                                <w:rFonts w:ascii="Times New Roman" w:eastAsia="Times New Roman" w:hAnsi="Times New Roman" w:cs="Times New Roman"/>
                                <w:b/>
                                <w:bCs/>
                                <w:kern w:val="0"/>
                                <w:sz w:val="20"/>
                                <w:szCs w:val="20"/>
                              </w:rPr>
                              <w:t>Vol. 16 (1): June 2026</w:t>
                            </w:r>
                          </w:p>
                        </w:tc>
                        <w:tc>
                          <w:tcPr>
                            <w:tcW w:w="1771" w:type="dxa"/>
                            <w:tcBorders>
                              <w:top w:val="nil"/>
                              <w:left w:val="nil"/>
                              <w:bottom w:val="nil"/>
                              <w:right w:val="nil"/>
                            </w:tcBorders>
                          </w:tcPr>
                          <w:p w14:paraId="3AC35460" w14:textId="64B03D9B" w:rsidR="009D1B40" w:rsidRPr="00D9158A" w:rsidRDefault="009D1B40" w:rsidP="00C727EC">
                            <w:pPr>
                              <w:pStyle w:val="Header"/>
                              <w:jc w:val="center"/>
                              <w:rPr>
                                <w:rFonts w:cs="Times New Roman"/>
                              </w:rPr>
                            </w:pPr>
                            <w:r w:rsidRPr="00D9158A">
                              <w:rPr>
                                <w:rFonts w:cs="Times New Roman"/>
                                <w:noProof/>
                              </w:rPr>
                              <w:drawing>
                                <wp:inline distT="0" distB="0" distL="0" distR="0" wp14:anchorId="04AC0EC4" wp14:editId="17B0E0F2">
                                  <wp:extent cx="636905" cy="719789"/>
                                  <wp:effectExtent l="0" t="0" r="0" b="4445"/>
                                  <wp:docPr id="1" name="Picture 7"/>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r:embed="rId10"/>
                                          <a:stretch/>
                                        </pic:blipFill>
                                        <pic:spPr>
                                          <a:xfrm>
                                            <a:off x="0" y="0"/>
                                            <a:ext cx="644833" cy="728749"/>
                                          </a:xfrm>
                                          <a:prstGeom prst="rect">
                                            <a:avLst/>
                                          </a:prstGeom>
                                          <a:noFill/>
                                          <a:ln w="0">
                                            <a:noFill/>
                                          </a:ln>
                                        </pic:spPr>
                                      </pic:pic>
                                    </a:graphicData>
                                  </a:graphic>
                                </wp:inline>
                              </w:drawing>
                            </w:r>
                          </w:p>
                        </w:tc>
                      </w:tr>
                    </w:tbl>
                    <w:p w14:paraId="30E1182E" w14:textId="7EBDB416" w:rsidR="00103FEA" w:rsidRDefault="00103FEA"/>
                  </w:txbxContent>
                </v:textbox>
                <w10:wrap type="square"/>
              </v:shape>
            </w:pict>
          </mc:Fallback>
        </mc:AlternateContent>
      </w:r>
      <w:r w:rsidR="001C4EA2" w:rsidRPr="00ED62DC">
        <w:rPr>
          <w:rFonts w:ascii="Times New Roman" w:hAnsi="Times New Roman" w:cs="Times New Roman"/>
          <w:b/>
          <w:bCs/>
          <w:color w:val="000000" w:themeColor="text1"/>
          <w:sz w:val="28"/>
          <w:szCs w:val="28"/>
        </w:rPr>
        <w:t>India's Seed Spice Exports amid Geopolitical Disruptions</w:t>
      </w:r>
    </w:p>
    <w:p w14:paraId="6916E658" w14:textId="40F7376B" w:rsidR="006B5B32" w:rsidRPr="00ED62DC" w:rsidRDefault="00B82CFA" w:rsidP="000D1C12">
      <w:pPr>
        <w:spacing w:after="0" w:line="240" w:lineRule="auto"/>
        <w:jc w:val="both"/>
        <w:rPr>
          <w:rFonts w:ascii="Times New Roman" w:hAnsi="Times New Roman" w:cs="Times New Roman"/>
          <w:b/>
          <w:bCs/>
          <w:color w:val="000000" w:themeColor="text1"/>
          <w:sz w:val="22"/>
          <w:szCs w:val="22"/>
        </w:rPr>
      </w:pPr>
      <w:r w:rsidRPr="00ED62DC">
        <w:rPr>
          <w:rFonts w:ascii="Times New Roman" w:hAnsi="Times New Roman" w:cs="Times New Roman"/>
          <w:b/>
          <w:bCs/>
          <w:color w:val="000000" w:themeColor="text1"/>
          <w:sz w:val="22"/>
          <w:szCs w:val="22"/>
        </w:rPr>
        <w:t xml:space="preserve">M.D. Meena*, Vinay Bhardwaj, </w:t>
      </w:r>
      <w:r w:rsidR="00D83DC5" w:rsidRPr="00ED62DC">
        <w:rPr>
          <w:rFonts w:ascii="Times New Roman" w:hAnsi="Times New Roman" w:cs="Times New Roman"/>
          <w:b/>
          <w:bCs/>
          <w:color w:val="000000" w:themeColor="text1"/>
          <w:sz w:val="22"/>
          <w:szCs w:val="22"/>
        </w:rPr>
        <w:t xml:space="preserve">Sanjay Kumar, </w:t>
      </w:r>
      <w:r w:rsidRPr="00ED62DC">
        <w:rPr>
          <w:rFonts w:ascii="Times New Roman" w:hAnsi="Times New Roman" w:cs="Times New Roman"/>
          <w:b/>
          <w:bCs/>
          <w:color w:val="000000" w:themeColor="text1"/>
          <w:sz w:val="22"/>
          <w:szCs w:val="22"/>
        </w:rPr>
        <w:t>Shaym S. Meena</w:t>
      </w:r>
      <w:r w:rsidR="00D83DC5" w:rsidRPr="00ED62DC">
        <w:rPr>
          <w:rFonts w:ascii="Times New Roman" w:hAnsi="Times New Roman" w:cs="Times New Roman"/>
          <w:b/>
          <w:bCs/>
          <w:color w:val="000000" w:themeColor="text1"/>
          <w:sz w:val="22"/>
          <w:szCs w:val="22"/>
        </w:rPr>
        <w:t xml:space="preserve">, Shiv Lal, R.D. Meena, </w:t>
      </w:r>
      <w:r w:rsidRPr="00ED62DC">
        <w:rPr>
          <w:rFonts w:ascii="Times New Roman" w:hAnsi="Times New Roman" w:cs="Times New Roman"/>
          <w:b/>
          <w:bCs/>
          <w:color w:val="000000" w:themeColor="text1"/>
          <w:sz w:val="22"/>
          <w:szCs w:val="22"/>
        </w:rPr>
        <w:t xml:space="preserve">Narendra </w:t>
      </w:r>
      <w:proofErr w:type="spellStart"/>
      <w:r w:rsidRPr="00ED62DC">
        <w:rPr>
          <w:rFonts w:ascii="Times New Roman" w:hAnsi="Times New Roman" w:cs="Times New Roman"/>
          <w:b/>
          <w:bCs/>
          <w:color w:val="000000" w:themeColor="text1"/>
          <w:sz w:val="22"/>
          <w:szCs w:val="22"/>
        </w:rPr>
        <w:t>Choudhary</w:t>
      </w:r>
      <w:proofErr w:type="spellEnd"/>
      <w:r w:rsidR="00D83DC5" w:rsidRPr="00ED62DC">
        <w:rPr>
          <w:rFonts w:ascii="Times New Roman" w:hAnsi="Times New Roman" w:cs="Times New Roman"/>
          <w:b/>
          <w:bCs/>
          <w:color w:val="000000" w:themeColor="text1"/>
          <w:sz w:val="22"/>
          <w:szCs w:val="22"/>
        </w:rPr>
        <w:t xml:space="preserve"> and Amit </w:t>
      </w:r>
      <w:proofErr w:type="spellStart"/>
      <w:r w:rsidR="00D83DC5" w:rsidRPr="00ED62DC">
        <w:rPr>
          <w:rFonts w:ascii="Times New Roman" w:hAnsi="Times New Roman" w:cs="Times New Roman"/>
          <w:b/>
          <w:bCs/>
          <w:color w:val="000000" w:themeColor="text1"/>
          <w:sz w:val="22"/>
          <w:szCs w:val="22"/>
        </w:rPr>
        <w:t>Kasotiya</w:t>
      </w:r>
      <w:proofErr w:type="spellEnd"/>
    </w:p>
    <w:p w14:paraId="3B1ACA63" w14:textId="6715D7B7" w:rsidR="00CC7558" w:rsidRPr="00ED62DC" w:rsidRDefault="006B5B32" w:rsidP="00B82CFA">
      <w:pPr>
        <w:spacing w:after="0" w:line="240" w:lineRule="auto"/>
        <w:jc w:val="center"/>
        <w:rPr>
          <w:rFonts w:ascii="Times New Roman" w:hAnsi="Times New Roman" w:cs="Times New Roman"/>
          <w:color w:val="000000" w:themeColor="text1"/>
          <w:szCs w:val="24"/>
        </w:rPr>
      </w:pPr>
      <w:r w:rsidRPr="00ED62DC">
        <w:rPr>
          <w:rFonts w:ascii="Times New Roman" w:hAnsi="Times New Roman" w:cs="Times New Roman"/>
          <w:b/>
          <w:bCs/>
          <w:noProof/>
          <w:color w:val="000000" w:themeColor="text1"/>
          <w:sz w:val="22"/>
          <w:szCs w:val="22"/>
          <w:lang w:eastAsia="en-IN"/>
        </w:rPr>
        <mc:AlternateContent>
          <mc:Choice Requires="wps">
            <w:drawing>
              <wp:anchor distT="0" distB="0" distL="114300" distR="114300" simplePos="0" relativeHeight="251666432" behindDoc="0" locked="0" layoutInCell="1" allowOverlap="1" wp14:anchorId="3D26E04E" wp14:editId="4D6A173A">
                <wp:simplePos x="0" y="0"/>
                <wp:positionH relativeFrom="column">
                  <wp:posOffset>-90055</wp:posOffset>
                </wp:positionH>
                <wp:positionV relativeFrom="paragraph">
                  <wp:posOffset>63038</wp:posOffset>
                </wp:positionV>
                <wp:extent cx="6072621" cy="0"/>
                <wp:effectExtent l="0" t="0" r="0" b="0"/>
                <wp:wrapNone/>
                <wp:docPr id="1393269234" name="Straight Connector 1"/>
                <wp:cNvGraphicFramePr/>
                <a:graphic xmlns:a="http://schemas.openxmlformats.org/drawingml/2006/main">
                  <a:graphicData uri="http://schemas.microsoft.com/office/word/2010/wordprocessingShape">
                    <wps:wsp>
                      <wps:cNvCnPr/>
                      <wps:spPr>
                        <a:xfrm>
                          <a:off x="0" y="0"/>
                          <a:ext cx="6072621"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72508B7" id="Straight Connector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pt,4.95pt" to="471.0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" strokecolor="black [3213]" strokeweight="1pt">
                <v:stroke joinstyle="miter"/>
              </v:line>
            </w:pict>
          </mc:Fallback>
        </mc:AlternateContent>
      </w:r>
    </w:p>
    <w:tbl>
      <w:tblPr>
        <w:tblStyle w:val="TableGrid"/>
        <w:tblW w:w="949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3"/>
        <w:gridCol w:w="284"/>
        <w:gridCol w:w="5671"/>
      </w:tblGrid>
      <w:tr w:rsidR="006B5B32" w:rsidRPr="00ED62DC" w14:paraId="456EC116" w14:textId="77777777" w:rsidTr="00AF698D">
        <w:trPr>
          <w:trHeight w:val="5908"/>
        </w:trPr>
        <w:tc>
          <w:tcPr>
            <w:tcW w:w="3543" w:type="dxa"/>
          </w:tcPr>
          <w:p w14:paraId="5C0C18C0" w14:textId="0E412614" w:rsidR="004E559C" w:rsidRPr="00ED62DC" w:rsidRDefault="006B5B32" w:rsidP="006D6553">
            <w:pPr>
              <w:ind w:right="-472"/>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Reviewed by</w:t>
            </w:r>
            <w:r w:rsidR="006D6553" w:rsidRPr="00ED62DC">
              <w:rPr>
                <w:rFonts w:ascii="Times New Roman" w:hAnsi="Times New Roman" w:cs="Times New Roman"/>
                <w:b/>
                <w:bCs/>
                <w:color w:val="000000" w:themeColor="text1"/>
                <w:sz w:val="20"/>
                <w:szCs w:val="20"/>
              </w:rPr>
              <w:t>:</w:t>
            </w:r>
          </w:p>
          <w:p w14:paraId="7716E0A5" w14:textId="77777777" w:rsidR="004E559C" w:rsidRPr="00ED62DC" w:rsidRDefault="006B5B32" w:rsidP="006D6553">
            <w:pPr>
              <w:ind w:right="-472"/>
              <w:rPr>
                <w:rFonts w:ascii="Times New Roman" w:hAnsi="Times New Roman" w:cs="Times New Roman"/>
                <w:color w:val="000000" w:themeColor="text1"/>
                <w:sz w:val="20"/>
                <w:szCs w:val="20"/>
                <w:shd w:val="clear" w:color="auto" w:fill="FFFFFF"/>
              </w:rPr>
            </w:pPr>
            <w:r w:rsidRPr="00ED62DC">
              <w:rPr>
                <w:rFonts w:ascii="Times New Roman" w:hAnsi="Times New Roman" w:cs="Times New Roman"/>
                <w:color w:val="000000" w:themeColor="text1"/>
                <w:sz w:val="20"/>
                <w:szCs w:val="20"/>
                <w:shd w:val="clear" w:color="auto" w:fill="FFFFFF"/>
              </w:rPr>
              <w:t>Dr.  Purushottam Sharma</w:t>
            </w:r>
            <w:r w:rsidR="004E559C" w:rsidRPr="00ED62DC">
              <w:rPr>
                <w:rFonts w:ascii="Times New Roman" w:hAnsi="Times New Roman" w:cs="Times New Roman"/>
                <w:color w:val="000000" w:themeColor="text1"/>
                <w:sz w:val="20"/>
                <w:szCs w:val="20"/>
                <w:shd w:val="clear" w:color="auto" w:fill="FFFFFF"/>
              </w:rPr>
              <w:t xml:space="preserve"> </w:t>
            </w:r>
          </w:p>
          <w:p w14:paraId="1F077C75" w14:textId="0E35FD69" w:rsidR="006B5B32" w:rsidRPr="00ED62DC" w:rsidRDefault="006B5B32" w:rsidP="006D6553">
            <w:pPr>
              <w:ind w:right="-472"/>
              <w:rPr>
                <w:rFonts w:ascii="Times New Roman" w:hAnsi="Times New Roman" w:cs="Times New Roman"/>
                <w:color w:val="000000" w:themeColor="text1"/>
                <w:sz w:val="20"/>
                <w:szCs w:val="20"/>
                <w:shd w:val="clear" w:color="auto" w:fill="FFFFFF"/>
              </w:rPr>
            </w:pPr>
            <w:r w:rsidRPr="00ED62DC">
              <w:rPr>
                <w:rFonts w:ascii="Times New Roman" w:hAnsi="Times New Roman" w:cs="Times New Roman"/>
                <w:color w:val="000000" w:themeColor="text1"/>
                <w:sz w:val="20"/>
                <w:szCs w:val="20"/>
                <w:shd w:val="clear" w:color="auto" w:fill="FFFFFF"/>
              </w:rPr>
              <w:t>ICAR-National Institute of Agricultural</w:t>
            </w:r>
            <w:r w:rsidR="004E559C" w:rsidRPr="00ED62DC">
              <w:rPr>
                <w:rFonts w:ascii="Times New Roman" w:hAnsi="Times New Roman" w:cs="Times New Roman"/>
                <w:color w:val="000000" w:themeColor="text1"/>
                <w:sz w:val="20"/>
                <w:szCs w:val="20"/>
                <w:shd w:val="clear" w:color="auto" w:fill="FFFFFF"/>
              </w:rPr>
              <w:t xml:space="preserve"> </w:t>
            </w:r>
            <w:r w:rsidRPr="00ED62DC">
              <w:rPr>
                <w:rFonts w:ascii="Times New Roman" w:hAnsi="Times New Roman" w:cs="Times New Roman"/>
                <w:color w:val="000000" w:themeColor="text1"/>
                <w:sz w:val="20"/>
                <w:szCs w:val="20"/>
                <w:shd w:val="clear" w:color="auto" w:fill="FFFFFF"/>
              </w:rPr>
              <w:t>Economics and Policy Research</w:t>
            </w:r>
          </w:p>
          <w:p w14:paraId="7D3E4607" w14:textId="77777777" w:rsidR="006B5B32" w:rsidRPr="00ED62DC" w:rsidRDefault="006B5B32" w:rsidP="006D6553">
            <w:pPr>
              <w:ind w:right="-472"/>
              <w:rPr>
                <w:rFonts w:ascii="Times New Roman" w:hAnsi="Times New Roman" w:cs="Times New Roman"/>
                <w:color w:val="000000" w:themeColor="text1"/>
                <w:sz w:val="20"/>
                <w:szCs w:val="20"/>
                <w:shd w:val="clear" w:color="auto" w:fill="FFFFFF"/>
              </w:rPr>
            </w:pPr>
            <w:r w:rsidRPr="00ED62DC">
              <w:rPr>
                <w:rFonts w:ascii="Times New Roman" w:hAnsi="Times New Roman" w:cs="Times New Roman"/>
                <w:color w:val="000000" w:themeColor="text1"/>
                <w:sz w:val="20"/>
                <w:szCs w:val="20"/>
                <w:shd w:val="clear" w:color="auto" w:fill="FFFFFF"/>
              </w:rPr>
              <w:t>New Delhi, India</w:t>
            </w:r>
          </w:p>
          <w:p w14:paraId="59117D37" w14:textId="77777777" w:rsidR="006B5B32" w:rsidRPr="00ED62DC" w:rsidRDefault="006B5B32" w:rsidP="006D6553">
            <w:pPr>
              <w:ind w:right="-472"/>
              <w:rPr>
                <w:rFonts w:ascii="Times New Roman" w:hAnsi="Times New Roman" w:cs="Times New Roman"/>
                <w:color w:val="000000" w:themeColor="text1"/>
                <w:sz w:val="20"/>
                <w:szCs w:val="20"/>
                <w:shd w:val="clear" w:color="auto" w:fill="FFFFFF"/>
              </w:rPr>
            </w:pPr>
            <w:r w:rsidRPr="00ED62DC">
              <w:rPr>
                <w:rFonts w:ascii="Times New Roman" w:hAnsi="Times New Roman" w:cs="Times New Roman"/>
                <w:color w:val="000000" w:themeColor="text1"/>
                <w:sz w:val="20"/>
                <w:szCs w:val="20"/>
              </w:rPr>
              <w:t xml:space="preserve">Email: </w:t>
            </w:r>
            <w:r w:rsidRPr="00ED62DC">
              <w:rPr>
                <w:rFonts w:ascii="Times New Roman" w:hAnsi="Times New Roman" w:cs="Times New Roman"/>
                <w:color w:val="000000" w:themeColor="text1"/>
                <w:sz w:val="20"/>
                <w:szCs w:val="20"/>
                <w:shd w:val="clear" w:color="auto" w:fill="FFFFFF"/>
              </w:rPr>
              <w:t>purushottamji@gmail.com</w:t>
            </w:r>
          </w:p>
          <w:p w14:paraId="0C84E7A4" w14:textId="77777777" w:rsidR="006D6553" w:rsidRPr="00ED62DC" w:rsidRDefault="006D6553" w:rsidP="006D6553">
            <w:pPr>
              <w:ind w:right="-472"/>
              <w:rPr>
                <w:rFonts w:ascii="Times New Roman" w:hAnsi="Times New Roman" w:cs="Times New Roman"/>
                <w:color w:val="000000" w:themeColor="text1"/>
                <w:sz w:val="20"/>
                <w:szCs w:val="20"/>
                <w:shd w:val="clear" w:color="auto" w:fill="FFFFFF"/>
              </w:rPr>
            </w:pPr>
          </w:p>
          <w:p w14:paraId="082240DB" w14:textId="77777777" w:rsidR="006D6553" w:rsidRPr="00ED62DC" w:rsidRDefault="006B5B32" w:rsidP="006D6553">
            <w:pPr>
              <w:ind w:right="-472"/>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*Correspondence</w:t>
            </w:r>
            <w:r w:rsidR="006D6553" w:rsidRPr="00ED62DC">
              <w:rPr>
                <w:rFonts w:ascii="Times New Roman" w:hAnsi="Times New Roman" w:cs="Times New Roman"/>
                <w:b/>
                <w:bCs/>
                <w:color w:val="000000" w:themeColor="text1"/>
                <w:sz w:val="20"/>
                <w:szCs w:val="20"/>
              </w:rPr>
              <w:t xml:space="preserve">: </w:t>
            </w:r>
          </w:p>
          <w:p w14:paraId="5A1820CF" w14:textId="7F55581D" w:rsidR="006B5B32" w:rsidRPr="00ED62DC" w:rsidRDefault="006B5B32" w:rsidP="006D6553">
            <w:pPr>
              <w:ind w:right="-472"/>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M.D. Meena</w:t>
            </w:r>
          </w:p>
          <w:p w14:paraId="6AAF7BBD" w14:textId="486E803B" w:rsidR="006B5B32" w:rsidRPr="00ED62DC" w:rsidRDefault="006D6553" w:rsidP="006D6553">
            <w:pPr>
              <w:rPr>
                <w:rFonts w:ascii="Times New Roman" w:hAnsi="Times New Roman" w:cs="Times New Roman"/>
                <w:b/>
                <w:bCs/>
                <w:color w:val="000000" w:themeColor="text1"/>
                <w:sz w:val="20"/>
                <w:szCs w:val="20"/>
                <w:shd w:val="clear" w:color="auto" w:fill="FFFFFF"/>
              </w:rPr>
            </w:pPr>
            <w:r w:rsidRPr="00ED62DC">
              <w:rPr>
                <w:rFonts w:ascii="Times New Roman" w:hAnsi="Times New Roman" w:cs="Times New Roman"/>
                <w:color w:val="000000" w:themeColor="text1"/>
                <w:sz w:val="20"/>
                <w:szCs w:val="20"/>
              </w:rPr>
              <w:t xml:space="preserve">Email: </w:t>
            </w:r>
            <w:r w:rsidR="006B5B32" w:rsidRPr="00ED62DC">
              <w:rPr>
                <w:rFonts w:ascii="Times New Roman" w:hAnsi="Times New Roman" w:cs="Times New Roman"/>
                <w:color w:val="000000" w:themeColor="text1"/>
                <w:sz w:val="20"/>
                <w:szCs w:val="20"/>
              </w:rPr>
              <w:t>meenamurlidhar@gmail.com</w:t>
            </w:r>
          </w:p>
          <w:p w14:paraId="692AF9FE" w14:textId="77777777" w:rsidR="006B5B32" w:rsidRPr="00ED62DC" w:rsidRDefault="006B5B32" w:rsidP="006D6553">
            <w:pPr>
              <w:rPr>
                <w:rFonts w:ascii="Times New Roman" w:hAnsi="Times New Roman" w:cs="Times New Roman"/>
                <w:b/>
                <w:bCs/>
                <w:color w:val="000000" w:themeColor="text1"/>
                <w:sz w:val="20"/>
                <w:szCs w:val="20"/>
                <w:shd w:val="clear" w:color="auto" w:fill="FFFFFF"/>
              </w:rPr>
            </w:pPr>
          </w:p>
          <w:p w14:paraId="30C57A8A" w14:textId="77777777" w:rsidR="006B5B32" w:rsidRPr="00ED62DC" w:rsidRDefault="006B5B32" w:rsidP="006D6553">
            <w:pPr>
              <w:spacing w:line="276" w:lineRule="auto"/>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shd w:val="clear" w:color="auto" w:fill="FFFFFF"/>
              </w:rPr>
              <w:t>Rec</w:t>
            </w:r>
            <w:r w:rsidRPr="00ED62DC">
              <w:rPr>
                <w:rFonts w:ascii="Times New Roman" w:hAnsi="Times New Roman" w:cs="Times New Roman"/>
                <w:b/>
                <w:bCs/>
                <w:color w:val="000000" w:themeColor="text1"/>
                <w:sz w:val="20"/>
                <w:szCs w:val="20"/>
              </w:rPr>
              <w:t xml:space="preserve">eived: </w:t>
            </w:r>
            <w:r w:rsidRPr="00ED62DC">
              <w:rPr>
                <w:rFonts w:ascii="Times New Roman" w:hAnsi="Times New Roman" w:cs="Times New Roman"/>
                <w:color w:val="000000" w:themeColor="text1"/>
                <w:sz w:val="20"/>
                <w:szCs w:val="20"/>
              </w:rPr>
              <w:t>27 August 2026</w:t>
            </w:r>
          </w:p>
          <w:p w14:paraId="22FABDE0" w14:textId="77777777" w:rsidR="006B5B32" w:rsidRPr="00ED62DC" w:rsidRDefault="006B5B32" w:rsidP="006D6553">
            <w:pPr>
              <w:spacing w:line="276" w:lineRule="auto"/>
              <w:ind w:right="-472"/>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 xml:space="preserve">Revision:  </w:t>
            </w:r>
            <w:r w:rsidRPr="00ED62DC">
              <w:rPr>
                <w:rFonts w:ascii="Times New Roman" w:hAnsi="Times New Roman" w:cs="Times New Roman"/>
                <w:color w:val="000000" w:themeColor="text1"/>
                <w:sz w:val="20"/>
                <w:szCs w:val="20"/>
              </w:rPr>
              <w:t>16 September 2026</w:t>
            </w:r>
            <w:r w:rsidRPr="00ED62DC">
              <w:rPr>
                <w:rFonts w:ascii="Times New Roman" w:hAnsi="Times New Roman" w:cs="Times New Roman"/>
                <w:b/>
                <w:bCs/>
                <w:color w:val="000000" w:themeColor="text1"/>
                <w:sz w:val="20"/>
                <w:szCs w:val="20"/>
              </w:rPr>
              <w:t xml:space="preserve"> </w:t>
            </w:r>
          </w:p>
          <w:p w14:paraId="085307A1" w14:textId="77777777" w:rsidR="006B5B32" w:rsidRPr="00ED62DC" w:rsidRDefault="006B5B32" w:rsidP="006D6553">
            <w:pPr>
              <w:spacing w:line="276" w:lineRule="auto"/>
              <w:ind w:right="-472"/>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 xml:space="preserve">Accepted:  </w:t>
            </w:r>
            <w:r w:rsidRPr="00ED62DC">
              <w:rPr>
                <w:rFonts w:ascii="Times New Roman" w:hAnsi="Times New Roman" w:cs="Times New Roman"/>
                <w:color w:val="000000" w:themeColor="text1"/>
                <w:sz w:val="20"/>
                <w:szCs w:val="20"/>
              </w:rPr>
              <w:t>01 October 2026</w:t>
            </w:r>
          </w:p>
          <w:p w14:paraId="49D9CBAF" w14:textId="77777777" w:rsidR="006D6553" w:rsidRPr="00ED62DC" w:rsidRDefault="006D6553" w:rsidP="006D6553">
            <w:pPr>
              <w:ind w:right="-472"/>
              <w:rPr>
                <w:rFonts w:ascii="Times New Roman" w:hAnsi="Times New Roman" w:cs="Times New Roman"/>
                <w:b/>
                <w:bCs/>
                <w:color w:val="000000" w:themeColor="text1"/>
                <w:sz w:val="20"/>
                <w:szCs w:val="20"/>
              </w:rPr>
            </w:pPr>
          </w:p>
          <w:p w14:paraId="74586960" w14:textId="4367DE1A" w:rsidR="006B5B32" w:rsidRPr="00ED62DC" w:rsidRDefault="006B5B32" w:rsidP="006D6553">
            <w:pPr>
              <w:ind w:right="-472"/>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Citation</w:t>
            </w:r>
            <w:r w:rsidR="006D6553" w:rsidRPr="00ED62DC">
              <w:rPr>
                <w:rFonts w:ascii="Times New Roman" w:hAnsi="Times New Roman" w:cs="Times New Roman"/>
                <w:b/>
                <w:bCs/>
                <w:color w:val="000000" w:themeColor="text1"/>
                <w:sz w:val="20"/>
                <w:szCs w:val="20"/>
              </w:rPr>
              <w:t>:</w:t>
            </w:r>
          </w:p>
          <w:p w14:paraId="7ECF896C" w14:textId="7B815764" w:rsidR="006B5B32" w:rsidRPr="00ED62DC" w:rsidRDefault="00991849" w:rsidP="006D6553">
            <w:pPr>
              <w:jc w:val="both"/>
              <w:rPr>
                <w:rFonts w:ascii="Times New Roman" w:hAnsi="Times New Roman" w:cs="Times New Roman"/>
                <w:color w:val="000000" w:themeColor="text1"/>
                <w:sz w:val="20"/>
                <w:szCs w:val="20"/>
              </w:rPr>
            </w:pPr>
            <w:proofErr w:type="spellStart"/>
            <w:proofErr w:type="gramStart"/>
            <w:r>
              <w:rPr>
                <w:rFonts w:ascii="Times New Roman" w:hAnsi="Times New Roman" w:cs="Times New Roman"/>
                <w:color w:val="000000" w:themeColor="text1"/>
                <w:sz w:val="20"/>
                <w:szCs w:val="20"/>
              </w:rPr>
              <w:t>Meena</w:t>
            </w:r>
            <w:r w:rsidRPr="00991849">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M.D</w:t>
            </w:r>
            <w:proofErr w:type="spellEnd"/>
            <w:r>
              <w:rPr>
                <w:rFonts w:ascii="Times New Roman" w:hAnsi="Times New Roman" w:cs="Times New Roman"/>
                <w:color w:val="000000" w:themeColor="text1"/>
                <w:sz w:val="20"/>
                <w:szCs w:val="20"/>
              </w:rPr>
              <w:t>.</w:t>
            </w:r>
            <w:proofErr w:type="gramEnd"/>
            <w:r>
              <w:rPr>
                <w:rFonts w:ascii="Times New Roman" w:hAnsi="Times New Roman" w:cs="Times New Roman"/>
                <w:color w:val="000000" w:themeColor="text1"/>
                <w:sz w:val="20"/>
                <w:szCs w:val="20"/>
              </w:rPr>
              <w:t>,</w:t>
            </w:r>
            <w:r w:rsidRPr="00991849">
              <w:rPr>
                <w:rFonts w:ascii="Times New Roman" w:hAnsi="Times New Roman" w:cs="Times New Roman"/>
                <w:color w:val="000000" w:themeColor="text1"/>
                <w:sz w:val="20"/>
                <w:szCs w:val="20"/>
              </w:rPr>
              <w:t xml:space="preserve"> </w:t>
            </w:r>
            <w:proofErr w:type="spellStart"/>
            <w:r w:rsidRPr="00991849">
              <w:rPr>
                <w:rFonts w:ascii="Times New Roman" w:hAnsi="Times New Roman" w:cs="Times New Roman"/>
                <w:color w:val="000000" w:themeColor="text1"/>
                <w:sz w:val="20"/>
                <w:szCs w:val="20"/>
              </w:rPr>
              <w:t>Bhardwaj,</w:t>
            </w:r>
            <w:r>
              <w:rPr>
                <w:rFonts w:ascii="Times New Roman" w:hAnsi="Times New Roman" w:cs="Times New Roman"/>
                <w:color w:val="000000" w:themeColor="text1"/>
                <w:sz w:val="20"/>
                <w:szCs w:val="20"/>
              </w:rPr>
              <w:t>V</w:t>
            </w:r>
            <w:proofErr w:type="spellEnd"/>
            <w:r>
              <w:rPr>
                <w:rFonts w:ascii="Times New Roman" w:hAnsi="Times New Roman" w:cs="Times New Roman"/>
                <w:color w:val="000000" w:themeColor="text1"/>
                <w:sz w:val="20"/>
                <w:szCs w:val="20"/>
              </w:rPr>
              <w:t>.,</w:t>
            </w:r>
            <w:r w:rsidRPr="00991849">
              <w:rPr>
                <w:rFonts w:ascii="Times New Roman" w:hAnsi="Times New Roman" w:cs="Times New Roman"/>
                <w:color w:val="000000" w:themeColor="text1"/>
                <w:sz w:val="20"/>
                <w:szCs w:val="20"/>
              </w:rPr>
              <w:t xml:space="preserve"> Kumar,</w:t>
            </w:r>
            <w:r>
              <w:rPr>
                <w:rFonts w:ascii="Times New Roman" w:hAnsi="Times New Roman" w:cs="Times New Roman"/>
                <w:color w:val="000000" w:themeColor="text1"/>
                <w:sz w:val="20"/>
                <w:szCs w:val="20"/>
              </w:rPr>
              <w:t xml:space="preserve"> S.,</w:t>
            </w:r>
            <w:r w:rsidRPr="00991849">
              <w:rPr>
                <w:rFonts w:ascii="Times New Roman" w:hAnsi="Times New Roman" w:cs="Times New Roman"/>
                <w:color w:val="000000" w:themeColor="text1"/>
                <w:sz w:val="20"/>
                <w:szCs w:val="20"/>
              </w:rPr>
              <w:t xml:space="preserve"> S. </w:t>
            </w:r>
            <w:proofErr w:type="spellStart"/>
            <w:r w:rsidRPr="00991849">
              <w:rPr>
                <w:rFonts w:ascii="Times New Roman" w:hAnsi="Times New Roman" w:cs="Times New Roman"/>
                <w:color w:val="000000" w:themeColor="text1"/>
                <w:sz w:val="20"/>
                <w:szCs w:val="20"/>
              </w:rPr>
              <w:t>Meena</w:t>
            </w:r>
            <w:proofErr w:type="spellEnd"/>
            <w:r w:rsidRPr="00991849">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S.S.,</w:t>
            </w:r>
            <w:r w:rsidRPr="00991849">
              <w:rPr>
                <w:rFonts w:ascii="Times New Roman" w:hAnsi="Times New Roman" w:cs="Times New Roman"/>
                <w:color w:val="000000" w:themeColor="text1"/>
                <w:sz w:val="20"/>
                <w:szCs w:val="20"/>
              </w:rPr>
              <w:t xml:space="preserve"> Lal,</w:t>
            </w:r>
            <w:r>
              <w:rPr>
                <w:rFonts w:ascii="Times New Roman" w:hAnsi="Times New Roman" w:cs="Times New Roman"/>
                <w:color w:val="000000" w:themeColor="text1"/>
                <w:sz w:val="20"/>
                <w:szCs w:val="20"/>
              </w:rPr>
              <w:t xml:space="preserve"> S.,</w:t>
            </w:r>
            <w:r w:rsidRPr="00991849">
              <w:rPr>
                <w:rFonts w:ascii="Times New Roman" w:hAnsi="Times New Roman" w:cs="Times New Roman"/>
                <w:color w:val="000000" w:themeColor="text1"/>
                <w:sz w:val="20"/>
                <w:szCs w:val="20"/>
              </w:rPr>
              <w:t xml:space="preserve">  </w:t>
            </w:r>
            <w:proofErr w:type="spellStart"/>
            <w:r w:rsidRPr="00991849">
              <w:rPr>
                <w:rFonts w:ascii="Times New Roman" w:hAnsi="Times New Roman" w:cs="Times New Roman"/>
                <w:color w:val="000000" w:themeColor="text1"/>
                <w:sz w:val="20"/>
                <w:szCs w:val="20"/>
              </w:rPr>
              <w:t>Meena</w:t>
            </w:r>
            <w:proofErr w:type="spellEnd"/>
            <w:r w:rsidRPr="00991849">
              <w:rPr>
                <w:rFonts w:ascii="Times New Roman" w:hAnsi="Times New Roman" w:cs="Times New Roman"/>
                <w:color w:val="000000" w:themeColor="text1"/>
                <w:sz w:val="20"/>
                <w:szCs w:val="20"/>
              </w:rPr>
              <w:t>, R.D.</w:t>
            </w:r>
            <w:r>
              <w:rPr>
                <w:rFonts w:ascii="Times New Roman" w:hAnsi="Times New Roman" w:cs="Times New Roman"/>
                <w:color w:val="000000" w:themeColor="text1"/>
                <w:sz w:val="20"/>
                <w:szCs w:val="20"/>
              </w:rPr>
              <w:t xml:space="preserve">, </w:t>
            </w:r>
            <w:r w:rsidRPr="00991849">
              <w:rPr>
                <w:rFonts w:ascii="Times New Roman" w:hAnsi="Times New Roman" w:cs="Times New Roman"/>
                <w:color w:val="000000" w:themeColor="text1"/>
                <w:sz w:val="20"/>
                <w:szCs w:val="20"/>
              </w:rPr>
              <w:t xml:space="preserve">Narendra </w:t>
            </w:r>
            <w:proofErr w:type="spellStart"/>
            <w:r w:rsidRPr="00991849">
              <w:rPr>
                <w:rFonts w:ascii="Times New Roman" w:hAnsi="Times New Roman" w:cs="Times New Roman"/>
                <w:color w:val="000000" w:themeColor="text1"/>
                <w:sz w:val="20"/>
                <w:szCs w:val="20"/>
              </w:rPr>
              <w:t>Choudhary</w:t>
            </w:r>
            <w:proofErr w:type="spellEnd"/>
            <w:r>
              <w:rPr>
                <w:rFonts w:ascii="Times New Roman" w:hAnsi="Times New Roman" w:cs="Times New Roman"/>
                <w:color w:val="000000" w:themeColor="text1"/>
                <w:sz w:val="20"/>
                <w:szCs w:val="20"/>
              </w:rPr>
              <w:t xml:space="preserve">, N., </w:t>
            </w:r>
            <w:r w:rsidRPr="00991849">
              <w:rPr>
                <w:rFonts w:ascii="Times New Roman" w:hAnsi="Times New Roman" w:cs="Times New Roman"/>
                <w:color w:val="000000" w:themeColor="text1"/>
                <w:sz w:val="20"/>
                <w:szCs w:val="20"/>
              </w:rPr>
              <w:t xml:space="preserve">and  </w:t>
            </w:r>
            <w:proofErr w:type="spellStart"/>
            <w:r w:rsidRPr="00991849">
              <w:rPr>
                <w:rFonts w:ascii="Times New Roman" w:hAnsi="Times New Roman" w:cs="Times New Roman"/>
                <w:color w:val="000000" w:themeColor="text1"/>
                <w:sz w:val="20"/>
                <w:szCs w:val="20"/>
              </w:rPr>
              <w:t>Kasotiya</w:t>
            </w:r>
            <w:proofErr w:type="spellEnd"/>
            <w:r>
              <w:rPr>
                <w:rFonts w:ascii="Times New Roman" w:hAnsi="Times New Roman" w:cs="Times New Roman"/>
                <w:color w:val="000000" w:themeColor="text1"/>
                <w:sz w:val="20"/>
                <w:szCs w:val="20"/>
              </w:rPr>
              <w:t>, A.</w:t>
            </w:r>
            <w:r w:rsidR="006B5B32" w:rsidRPr="00991849">
              <w:rPr>
                <w:rFonts w:ascii="Times New Roman" w:hAnsi="Times New Roman" w:cs="Times New Roman"/>
                <w:color w:val="000000" w:themeColor="text1"/>
                <w:sz w:val="20"/>
                <w:szCs w:val="20"/>
                <w:vertAlign w:val="superscript"/>
                <w:lang w:val="en-US"/>
              </w:rPr>
              <w:t xml:space="preserve"> </w:t>
            </w:r>
            <w:r w:rsidR="006B5B32" w:rsidRPr="00991849">
              <w:rPr>
                <w:rFonts w:ascii="Times New Roman" w:hAnsi="Times New Roman" w:cs="Times New Roman"/>
                <w:color w:val="000000" w:themeColor="text1"/>
                <w:sz w:val="20"/>
                <w:szCs w:val="20"/>
              </w:rPr>
              <w:t xml:space="preserve">(2025) </w:t>
            </w:r>
            <w:r w:rsidRPr="00991849">
              <w:rPr>
                <w:rFonts w:ascii="Times New Roman" w:hAnsi="Times New Roman" w:cs="Times New Roman"/>
                <w:color w:val="000000" w:themeColor="text1"/>
                <w:sz w:val="20"/>
                <w:szCs w:val="20"/>
              </w:rPr>
              <w:t>I</w:t>
            </w:r>
            <w:r w:rsidRPr="00991849">
              <w:rPr>
                <w:rFonts w:ascii="Times New Roman" w:hAnsi="Times New Roman" w:cs="Times New Roman"/>
                <w:color w:val="000000" w:themeColor="text1"/>
                <w:sz w:val="20"/>
                <w:szCs w:val="20"/>
              </w:rPr>
              <w:t>ndia's Seed Spice Exports amid Geopolitical Disruptions</w:t>
            </w:r>
            <w:r>
              <w:rPr>
                <w:rFonts w:ascii="Times New Roman" w:hAnsi="Times New Roman" w:cs="Times New Roman"/>
                <w:color w:val="000000" w:themeColor="text1"/>
                <w:sz w:val="20"/>
                <w:szCs w:val="20"/>
              </w:rPr>
              <w:t>.</w:t>
            </w:r>
            <w:bookmarkStart w:id="0" w:name="_GoBack"/>
            <w:bookmarkEnd w:id="0"/>
            <w:r w:rsidR="006B5B32" w:rsidRPr="00ED62DC">
              <w:rPr>
                <w:rFonts w:ascii="Times New Roman" w:hAnsi="Times New Roman" w:cs="Times New Roman"/>
                <w:color w:val="000000" w:themeColor="text1"/>
                <w:sz w:val="20"/>
                <w:szCs w:val="20"/>
              </w:rPr>
              <w:t>. Int J Seed Spice.16 (1):</w:t>
            </w:r>
            <w:r w:rsidR="00E45E0D">
              <w:rPr>
                <w:rFonts w:ascii="Times New Roman" w:hAnsi="Times New Roman" w:cs="Times New Roman"/>
                <w:color w:val="000000" w:themeColor="text1"/>
                <w:sz w:val="20"/>
                <w:szCs w:val="20"/>
              </w:rPr>
              <w:t xml:space="preserve"> 67-</w:t>
            </w:r>
            <w:r w:rsidR="00EF5677">
              <w:rPr>
                <w:rFonts w:ascii="Times New Roman" w:hAnsi="Times New Roman" w:cs="Times New Roman"/>
                <w:color w:val="000000" w:themeColor="text1"/>
                <w:sz w:val="20"/>
                <w:szCs w:val="20"/>
              </w:rPr>
              <w:t>77</w:t>
            </w:r>
          </w:p>
          <w:p w14:paraId="4A1F7A8E" w14:textId="5933BCF1" w:rsidR="006B5B32" w:rsidRPr="00ED62DC" w:rsidRDefault="006B5B32" w:rsidP="00421FFC">
            <w:pPr>
              <w:pStyle w:val="Heading2"/>
              <w:outlineLvl w:val="1"/>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DOI</w:t>
            </w:r>
            <w:r w:rsidR="006D6553" w:rsidRPr="00ED62DC">
              <w:rPr>
                <w:rFonts w:ascii="Times New Roman" w:hAnsi="Times New Roman" w:cs="Times New Roman"/>
                <w:b/>
                <w:bCs/>
                <w:color w:val="000000" w:themeColor="text1"/>
                <w:sz w:val="20"/>
                <w:szCs w:val="20"/>
              </w:rPr>
              <w:t>:</w:t>
            </w:r>
          </w:p>
          <w:p w14:paraId="34AD717A" w14:textId="483E7241" w:rsidR="006B5B32" w:rsidRPr="00ED62DC" w:rsidRDefault="00AE22E6" w:rsidP="006D6553">
            <w:pPr>
              <w:ind w:right="-472"/>
              <w:rPr>
                <w:rFonts w:ascii="Times New Roman" w:hAnsi="Times New Roman" w:cs="Times New Roman"/>
                <w:color w:val="000000" w:themeColor="text1"/>
                <w:sz w:val="20"/>
                <w:szCs w:val="20"/>
              </w:rPr>
            </w:pPr>
            <w:hyperlink r:id="rId13" w:history="1">
              <w:r w:rsidR="006D6553" w:rsidRPr="00ED62DC">
                <w:rPr>
                  <w:rStyle w:val="Hyperlink"/>
                  <w:rFonts w:ascii="Times New Roman" w:hAnsi="Times New Roman" w:cs="Times New Roman"/>
                  <w:color w:val="000000" w:themeColor="text1"/>
                  <w:sz w:val="20"/>
                  <w:szCs w:val="20"/>
                  <w:u w:val="none"/>
                </w:rPr>
                <w:t>https://doi</w:t>
              </w:r>
            </w:hyperlink>
            <w:r w:rsidR="006B5B32" w:rsidRPr="00ED62DC">
              <w:rPr>
                <w:rFonts w:ascii="Times New Roman" w:hAnsi="Times New Roman" w:cs="Times New Roman"/>
                <w:color w:val="000000" w:themeColor="text1"/>
                <w:sz w:val="20"/>
                <w:szCs w:val="20"/>
              </w:rPr>
              <w:t>.org/10.56093/IJSS.v16i1.8</w:t>
            </w:r>
          </w:p>
          <w:p w14:paraId="2B76074E" w14:textId="77777777" w:rsidR="006D6553" w:rsidRPr="00ED62DC" w:rsidRDefault="006D6553" w:rsidP="006D6553">
            <w:pPr>
              <w:ind w:right="-472"/>
              <w:rPr>
                <w:rFonts w:ascii="Times New Roman" w:hAnsi="Times New Roman" w:cs="Times New Roman"/>
                <w:b/>
                <w:bCs/>
                <w:color w:val="000000" w:themeColor="text1"/>
                <w:sz w:val="20"/>
                <w:szCs w:val="20"/>
              </w:rPr>
            </w:pPr>
          </w:p>
          <w:p w14:paraId="7CE731A1" w14:textId="0032F53A" w:rsidR="006B5B32" w:rsidRPr="00ED62DC" w:rsidRDefault="006B5B32" w:rsidP="006D6553">
            <w:pPr>
              <w:ind w:right="-472"/>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Affiliation</w:t>
            </w:r>
            <w:r w:rsidR="006D6553" w:rsidRPr="00ED62DC">
              <w:rPr>
                <w:rFonts w:ascii="Times New Roman" w:hAnsi="Times New Roman" w:cs="Times New Roman"/>
                <w:b/>
                <w:bCs/>
                <w:color w:val="000000" w:themeColor="text1"/>
                <w:sz w:val="20"/>
                <w:szCs w:val="20"/>
              </w:rPr>
              <w:t>:</w:t>
            </w:r>
          </w:p>
          <w:p w14:paraId="4C67E54C" w14:textId="24FFE517" w:rsidR="006B5B32" w:rsidRPr="00ED62DC" w:rsidRDefault="006D6553" w:rsidP="006D6553">
            <w:pPr>
              <w:ind w:right="-472"/>
              <w:rPr>
                <w:rFonts w:ascii="Times New Roman" w:hAnsi="Times New Roman" w:cs="Times New Roman"/>
                <w:color w:val="000000" w:themeColor="text1"/>
                <w:sz w:val="20"/>
                <w:szCs w:val="20"/>
                <w:shd w:val="clear" w:color="auto" w:fill="FFFFFF"/>
              </w:rPr>
            </w:pPr>
            <w:r w:rsidRPr="00ED62DC">
              <w:rPr>
                <w:rFonts w:ascii="Times New Roman" w:hAnsi="Times New Roman" w:cs="Times New Roman"/>
                <w:color w:val="000000" w:themeColor="text1"/>
                <w:sz w:val="20"/>
                <w:szCs w:val="20"/>
                <w:shd w:val="clear" w:color="auto" w:fill="FFFFFF"/>
              </w:rPr>
              <w:t>*ICAR-Central Arid Zone Research Institute, Jodhpur, Rajasthan, India</w:t>
            </w:r>
          </w:p>
          <w:p w14:paraId="134EE7D5" w14:textId="6E392680" w:rsidR="006B5B32" w:rsidRPr="00ED62DC" w:rsidRDefault="006B5B32" w:rsidP="006D6553">
            <w:pPr>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ICAR-National Research Centre on Seed Spices Ajmer-305 206, Rajasthan, India</w:t>
            </w:r>
          </w:p>
        </w:tc>
        <w:tc>
          <w:tcPr>
            <w:tcW w:w="284" w:type="dxa"/>
          </w:tcPr>
          <w:p w14:paraId="552092C5" w14:textId="77777777" w:rsidR="006B5B32" w:rsidRPr="00ED62DC" w:rsidRDefault="006B5B32" w:rsidP="006759F0">
            <w:pPr>
              <w:spacing w:line="276" w:lineRule="auto"/>
              <w:jc w:val="both"/>
              <w:rPr>
                <w:rFonts w:ascii="Times New Roman" w:hAnsi="Times New Roman" w:cs="Times New Roman"/>
                <w:b/>
                <w:bCs/>
                <w:color w:val="000000" w:themeColor="text1"/>
                <w:sz w:val="20"/>
                <w:szCs w:val="20"/>
              </w:rPr>
            </w:pPr>
          </w:p>
        </w:tc>
        <w:tc>
          <w:tcPr>
            <w:tcW w:w="5671" w:type="dxa"/>
          </w:tcPr>
          <w:p w14:paraId="155DAA14" w14:textId="1259FA2B" w:rsidR="006B5B32" w:rsidRPr="00ED62DC" w:rsidRDefault="006B5B32" w:rsidP="004E559C">
            <w:pPr>
              <w:jc w:val="both"/>
              <w:rPr>
                <w:rFonts w:ascii="Times New Roman" w:hAnsi="Times New Roman" w:cs="Times New Roman"/>
                <w:color w:val="000000" w:themeColor="text1"/>
                <w:sz w:val="20"/>
                <w:szCs w:val="20"/>
              </w:rPr>
            </w:pPr>
            <w:r w:rsidRPr="00ED62DC">
              <w:rPr>
                <w:rFonts w:ascii="Times New Roman" w:hAnsi="Times New Roman" w:cs="Times New Roman"/>
                <w:b/>
                <w:bCs/>
                <w:color w:val="000000" w:themeColor="text1"/>
                <w:sz w:val="20"/>
                <w:szCs w:val="20"/>
              </w:rPr>
              <w:t>Abstract:</w:t>
            </w:r>
            <w:r w:rsidRPr="00ED62DC">
              <w:rPr>
                <w:rFonts w:ascii="Times New Roman" w:hAnsi="Times New Roman" w:cs="Times New Roman"/>
                <w:b/>
                <w:bCs/>
                <w:color w:val="000000" w:themeColor="text1"/>
                <w:sz w:val="20"/>
                <w:szCs w:val="20"/>
              </w:rPr>
              <w:br/>
            </w:r>
            <w:r w:rsidRPr="00ED62DC">
              <w:rPr>
                <w:rFonts w:ascii="Times New Roman" w:hAnsi="Times New Roman" w:cs="Times New Roman"/>
                <w:color w:val="000000" w:themeColor="text1"/>
                <w:sz w:val="20"/>
                <w:szCs w:val="20"/>
              </w:rPr>
              <w:t>Geopolitical disruptions can affect agricultural trade through higher transportation and insurance costs, shipment delays, market uncertainty and changes in destination demand. However, limited evidence is available on how such disruptions affect India's seed spice exports, despite the growing importance of Gulf markets in India's spice trade. This study examines the export performance and domestic price behaviour of four major Indian seed spices namely, cumin, coriander, fennel and fenugreek during the period of heightened geopolitical tensions associated with the 2026 Iran conflict. Country-wise export data obtained from the Spices Board of India were analysed to compare export quantity and value across major destinations, with particular attention to Gulf Cooperation Council (GCC) markets. Monthly and weekly domestic price data were also examined to assess changes in market behaviour during the period of heightened geopolitical uncertainty. The results indicate substantial crop- and market-specific variation. Cumin exports declined by 14.39 per cent in quantity and 25.37 per cent in value, while fennel recorded the sharpest decline of 56.86 per cent in quantity and 44.97 per cent in value. In contrast, coriander exports remained broadly stable and fenugreek export quantity increased. GCC markets showed greater vulnerability for some seed spices, particularly cumin and fennel, while increased exports to several non-GCC destinations indicate market diversification and trade reorientation. Domestic price responses were also heterogeneous across crops. The findings highlight the vulnerability as well as adaptive capacity of India's seed spice trade during geopolitical disruptions and underline the importance of market diversification and trade-risk management.</w:t>
            </w:r>
          </w:p>
          <w:p w14:paraId="32A7E641" w14:textId="77777777" w:rsidR="006D6553" w:rsidRPr="00ED62DC" w:rsidRDefault="006D6553" w:rsidP="006B5B32">
            <w:pPr>
              <w:spacing w:before="240"/>
              <w:jc w:val="both"/>
              <w:rPr>
                <w:rFonts w:ascii="Times New Roman" w:hAnsi="Times New Roman" w:cs="Times New Roman"/>
                <w:b/>
                <w:bCs/>
                <w:color w:val="000000" w:themeColor="text1"/>
                <w:sz w:val="20"/>
                <w:szCs w:val="20"/>
              </w:rPr>
            </w:pPr>
          </w:p>
          <w:p w14:paraId="071B829F" w14:textId="2186E301" w:rsidR="006B5B32" w:rsidRPr="00ED62DC" w:rsidRDefault="006B5B32" w:rsidP="006D6553">
            <w:pPr>
              <w:spacing w:before="240"/>
              <w:jc w:val="both"/>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 xml:space="preserve">Keywords: </w:t>
            </w:r>
            <w:r w:rsidRPr="00ED62DC">
              <w:rPr>
                <w:rFonts w:ascii="Times New Roman" w:hAnsi="Times New Roman" w:cs="Times New Roman"/>
                <w:color w:val="000000" w:themeColor="text1"/>
                <w:sz w:val="20"/>
                <w:szCs w:val="20"/>
              </w:rPr>
              <w:t>Seed spices, Geopolitical disruptions, GCC markets, Export performance, Domestic prices, India</w:t>
            </w:r>
          </w:p>
        </w:tc>
      </w:tr>
    </w:tbl>
    <w:p w14:paraId="2B46BB5F" w14:textId="77777777" w:rsidR="006B5B32" w:rsidRPr="00ED62DC" w:rsidRDefault="006B5B32" w:rsidP="00CC7558">
      <w:pPr>
        <w:ind w:left="851" w:right="-472" w:hanging="851"/>
        <w:rPr>
          <w:rFonts w:ascii="Times New Roman" w:hAnsi="Times New Roman" w:cs="Times New Roman"/>
          <w:b/>
          <w:bCs/>
          <w:color w:val="000000" w:themeColor="text1"/>
          <w:sz w:val="20"/>
          <w:szCs w:val="20"/>
        </w:rPr>
      </w:pPr>
    </w:p>
    <w:p w14:paraId="3A46FF20" w14:textId="77777777" w:rsidR="005B27E2" w:rsidRPr="00ED62DC" w:rsidRDefault="005B27E2" w:rsidP="000626AA">
      <w:pPr>
        <w:spacing w:after="0" w:line="240" w:lineRule="auto"/>
        <w:jc w:val="both"/>
        <w:rPr>
          <w:rFonts w:ascii="Times New Roman" w:hAnsi="Times New Roman" w:cs="Times New Roman"/>
          <w:b/>
          <w:bCs/>
          <w:color w:val="000000" w:themeColor="text1"/>
          <w:szCs w:val="24"/>
        </w:rPr>
        <w:sectPr w:rsidR="005B27E2" w:rsidRPr="00ED62DC" w:rsidSect="00E45E0D">
          <w:headerReference w:type="default" r:id="rId14"/>
          <w:footerReference w:type="default" r:id="rId15"/>
          <w:footerReference w:type="first" r:id="rId16"/>
          <w:pgSz w:w="11906" w:h="16838"/>
          <w:pgMar w:top="851" w:right="1440" w:bottom="1440" w:left="1440" w:header="1134" w:footer="567" w:gutter="0"/>
          <w:pgNumType w:start="67"/>
          <w:cols w:space="708"/>
          <w:titlePg/>
          <w:docGrid w:linePitch="360"/>
        </w:sectPr>
      </w:pPr>
    </w:p>
    <w:p w14:paraId="44901236" w14:textId="2DA0F58C" w:rsidR="000626AA" w:rsidRPr="00ED62DC" w:rsidRDefault="000626AA" w:rsidP="008F3B51">
      <w:pPr>
        <w:spacing w:after="0" w:line="240" w:lineRule="auto"/>
        <w:jc w:val="both"/>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lastRenderedPageBreak/>
        <w:t>Introduction</w:t>
      </w:r>
    </w:p>
    <w:p w14:paraId="085AFACB" w14:textId="20B278CC" w:rsidR="003D35BB" w:rsidRPr="00ED62DC" w:rsidRDefault="003D35BB" w:rsidP="00870C7A">
      <w:pPr>
        <w:spacing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India is the world's largest producer and exporter of seed spices, supplying a major share of global trade in cumin, coriander, fennel, fenugreek, ajwain, dill, nigella and other seed spices. The seed spice sector is important not only for agricultural production and farm income but also for India's agricultural export earnings. During 2025</w:t>
      </w:r>
      <w:r w:rsidR="008D6C3E" w:rsidRPr="00ED62DC">
        <w:rPr>
          <w:rFonts w:ascii="Times New Roman" w:hAnsi="Times New Roman" w:cs="Times New Roman"/>
          <w:color w:val="000000" w:themeColor="text1"/>
          <w:sz w:val="20"/>
          <w:szCs w:val="20"/>
        </w:rPr>
        <w:t>-</w:t>
      </w:r>
      <w:r w:rsidRPr="00ED62DC">
        <w:rPr>
          <w:rFonts w:ascii="Times New Roman" w:hAnsi="Times New Roman" w:cs="Times New Roman"/>
          <w:color w:val="000000" w:themeColor="text1"/>
          <w:sz w:val="20"/>
          <w:szCs w:val="20"/>
        </w:rPr>
        <w:t>26, India exported 17.34 lakh tonnes of spices and spice products valued at ₹39,140.11 crore (US$4,430.90 million), compared with 17.99 lakh tonnes valued at ₹39,994.48 crore (US$4,722.65 million) during 2024</w:t>
      </w:r>
      <w:r w:rsidR="008D6C3E" w:rsidRPr="00ED62DC">
        <w:rPr>
          <w:rFonts w:ascii="Times New Roman" w:hAnsi="Times New Roman" w:cs="Times New Roman"/>
          <w:color w:val="000000" w:themeColor="text1"/>
          <w:sz w:val="20"/>
          <w:szCs w:val="20"/>
        </w:rPr>
        <w:t>-</w:t>
      </w:r>
      <w:r w:rsidRPr="00ED62DC">
        <w:rPr>
          <w:rFonts w:ascii="Times New Roman" w:hAnsi="Times New Roman" w:cs="Times New Roman"/>
          <w:color w:val="000000" w:themeColor="text1"/>
          <w:sz w:val="20"/>
          <w:szCs w:val="20"/>
        </w:rPr>
        <w:t xml:space="preserve">25, registering a decline in both export quantity and value (Spices Board, 2026). </w:t>
      </w:r>
      <w:r w:rsidR="00CC7558" w:rsidRPr="00ED62DC">
        <w:rPr>
          <w:rFonts w:ascii="Times New Roman" w:hAnsi="Times New Roman" w:cs="Times New Roman"/>
          <w:color w:val="000000" w:themeColor="text1"/>
          <w:sz w:val="20"/>
          <w:szCs w:val="20"/>
        </w:rPr>
        <w:t xml:space="preserve">Major export destinations include the United States, China, the United Arab Emirates </w:t>
      </w:r>
      <w:r w:rsidR="00CC7558" w:rsidRPr="00ED62DC">
        <w:rPr>
          <w:rFonts w:ascii="Times New Roman" w:hAnsi="Times New Roman" w:cs="Times New Roman"/>
          <w:color w:val="000000" w:themeColor="text1"/>
          <w:sz w:val="20"/>
          <w:szCs w:val="20"/>
        </w:rPr>
        <w:lastRenderedPageBreak/>
        <w:t>(UAE), Bangladesh, Saudi Arabia, the United Kingdom, Thailand, Malaysia, Indonesia, Sri Lanka, Germany, the</w:t>
      </w:r>
      <w:r w:rsidR="00870C7A">
        <w:rPr>
          <w:rFonts w:ascii="Times New Roman" w:hAnsi="Times New Roman" w:cs="Times New Roman"/>
          <w:color w:val="000000" w:themeColor="text1"/>
          <w:sz w:val="20"/>
          <w:szCs w:val="20"/>
        </w:rPr>
        <w:t xml:space="preserve"> </w:t>
      </w:r>
      <w:r w:rsidR="00CC7558" w:rsidRPr="00ED62DC">
        <w:rPr>
          <w:rFonts w:ascii="Times New Roman" w:hAnsi="Times New Roman" w:cs="Times New Roman"/>
          <w:color w:val="000000" w:themeColor="text1"/>
          <w:sz w:val="20"/>
          <w:szCs w:val="20"/>
        </w:rPr>
        <w:t>Netherlands, Canada, Nepal,</w:t>
      </w:r>
      <w:r w:rsidRPr="00ED62DC">
        <w:rPr>
          <w:rFonts w:ascii="Times New Roman" w:hAnsi="Times New Roman" w:cs="Times New Roman"/>
          <w:color w:val="000000" w:themeColor="text1"/>
          <w:sz w:val="20"/>
          <w:szCs w:val="20"/>
        </w:rPr>
        <w:t xml:space="preserve"> and Australia (Spices Board, 2026).</w:t>
      </w:r>
    </w:p>
    <w:p w14:paraId="2187BBCD" w14:textId="77777777" w:rsidR="003D35BB" w:rsidRPr="00ED62DC" w:rsidRDefault="003D35BB" w:rsidP="00BC29BB">
      <w:pPr>
        <w:spacing w:before="240"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The increasing integration of global markets has made agricultural trade more vulnerable to geopolitical conflicts. Disruptions in international supply chains can affect global trade, particularly in countries with strong agricultural trade linkages (</w:t>
      </w:r>
      <w:proofErr w:type="spellStart"/>
      <w:r w:rsidRPr="00ED62DC">
        <w:rPr>
          <w:rFonts w:ascii="Times New Roman" w:hAnsi="Times New Roman" w:cs="Times New Roman"/>
          <w:color w:val="000000" w:themeColor="text1"/>
          <w:sz w:val="20"/>
          <w:szCs w:val="20"/>
        </w:rPr>
        <w:t>Borbaruah</w:t>
      </w:r>
      <w:proofErr w:type="spellEnd"/>
      <w:r w:rsidRPr="00ED62DC">
        <w:rPr>
          <w:rFonts w:ascii="Times New Roman" w:hAnsi="Times New Roman" w:cs="Times New Roman"/>
          <w:color w:val="000000" w:themeColor="text1"/>
          <w:sz w:val="20"/>
          <w:szCs w:val="20"/>
        </w:rPr>
        <w:t xml:space="preserve"> et al., 2026). The Strait of Hormuz is an important corridor for crude oil, liquefied natural gas (LNG), fertilizers and commercial cargo. Disruptions in this corridor can contribute to higher energy and fertilizer prices, thereby increasing </w:t>
      </w:r>
      <w:r w:rsidRPr="00ED62DC">
        <w:rPr>
          <w:rFonts w:ascii="Times New Roman" w:hAnsi="Times New Roman" w:cs="Times New Roman"/>
          <w:color w:val="000000" w:themeColor="text1"/>
          <w:sz w:val="20"/>
          <w:szCs w:val="20"/>
        </w:rPr>
        <w:lastRenderedPageBreak/>
        <w:t>transportation costs and affecting agricultural production and international trade (Hebebrand et al., 2026). For India, the implications are particularly relevant because the Gulf Cooperation Council (GCC) region is not only an important source of energy and fertilizer supplies but also an important destination and transit region for agricultural exports. Rising freight charges, war-risk insurance premiums, shipping delays and higher input costs associated with disruptions in the region can affect the competitiveness of Indian agricultural exports (Pal et al., 2026).</w:t>
      </w:r>
    </w:p>
    <w:p w14:paraId="7D8D5F00" w14:textId="72953F78" w:rsidR="003D35BB" w:rsidRPr="00ED62DC" w:rsidRDefault="003D35BB" w:rsidP="00BC29BB">
      <w:pPr>
        <w:spacing w:before="240"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The GCC region also represents an important market for Indian spices. During 2024</w:t>
      </w:r>
      <w:r w:rsidR="008D6C3E" w:rsidRPr="00ED62DC">
        <w:rPr>
          <w:rFonts w:ascii="Times New Roman" w:hAnsi="Times New Roman" w:cs="Times New Roman"/>
          <w:color w:val="000000" w:themeColor="text1"/>
          <w:sz w:val="20"/>
          <w:szCs w:val="20"/>
        </w:rPr>
        <w:t>-</w:t>
      </w:r>
      <w:r w:rsidRPr="00ED62DC">
        <w:rPr>
          <w:rFonts w:ascii="Times New Roman" w:hAnsi="Times New Roman" w:cs="Times New Roman"/>
          <w:color w:val="000000" w:themeColor="text1"/>
          <w:sz w:val="20"/>
          <w:szCs w:val="20"/>
        </w:rPr>
        <w:t xml:space="preserve">25, more than 15 per cent of India's spice exports, amounting to about 2.87 lakh tonnes valued at ₹6,091 crore, were destined for countries located in or connected through the Strait of Hormuz, including the UAE, Saudi Arabia, Kuwait, Iran, Oman, Iraq, Qatar, Yemen and Nigeria (Spices Board, 2026). Moreover, </w:t>
      </w:r>
      <w:r w:rsidR="00CC7558" w:rsidRPr="00ED62DC">
        <w:rPr>
          <w:rFonts w:ascii="Times New Roman" w:hAnsi="Times New Roman" w:cs="Times New Roman"/>
          <w:color w:val="000000" w:themeColor="text1"/>
          <w:sz w:val="20"/>
          <w:szCs w:val="20"/>
        </w:rPr>
        <w:t>these markets' share of</w:t>
      </w:r>
      <w:r w:rsidRPr="00ED62DC">
        <w:rPr>
          <w:rFonts w:ascii="Times New Roman" w:hAnsi="Times New Roman" w:cs="Times New Roman"/>
          <w:color w:val="000000" w:themeColor="text1"/>
          <w:sz w:val="20"/>
          <w:szCs w:val="20"/>
        </w:rPr>
        <w:t xml:space="preserve"> India's spice exports increased from 12.63 per cent to 15.96 per cent in quantity and from 10.61 per cent to 15.23 per cent in value between 2020</w:t>
      </w:r>
      <w:r w:rsidR="008D6C3E" w:rsidRPr="00ED62DC">
        <w:rPr>
          <w:rFonts w:ascii="Times New Roman" w:hAnsi="Times New Roman" w:cs="Times New Roman"/>
          <w:color w:val="000000" w:themeColor="text1"/>
          <w:sz w:val="20"/>
          <w:szCs w:val="20"/>
        </w:rPr>
        <w:t>-</w:t>
      </w:r>
      <w:r w:rsidRPr="00ED62DC">
        <w:rPr>
          <w:rFonts w:ascii="Times New Roman" w:hAnsi="Times New Roman" w:cs="Times New Roman"/>
          <w:color w:val="000000" w:themeColor="text1"/>
          <w:sz w:val="20"/>
          <w:szCs w:val="20"/>
        </w:rPr>
        <w:t>21 and 2024</w:t>
      </w:r>
      <w:r w:rsidR="008D6C3E" w:rsidRPr="00ED62DC">
        <w:rPr>
          <w:rFonts w:ascii="Times New Roman" w:hAnsi="Times New Roman" w:cs="Times New Roman"/>
          <w:color w:val="000000" w:themeColor="text1"/>
          <w:sz w:val="20"/>
          <w:szCs w:val="20"/>
        </w:rPr>
        <w:t>-</w:t>
      </w:r>
      <w:r w:rsidRPr="00ED62DC">
        <w:rPr>
          <w:rFonts w:ascii="Times New Roman" w:hAnsi="Times New Roman" w:cs="Times New Roman"/>
          <w:color w:val="000000" w:themeColor="text1"/>
          <w:sz w:val="20"/>
          <w:szCs w:val="20"/>
        </w:rPr>
        <w:t>25. This increasing importance of Gulf-linked markets makes Indian spice exports potentially sensitive to disruptions affecting maritime trade in the region.</w:t>
      </w:r>
    </w:p>
    <w:p w14:paraId="30EA73E6" w14:textId="77777777" w:rsidR="003D35BB" w:rsidRPr="00ED62DC" w:rsidRDefault="003D35BB" w:rsidP="00BC29BB">
      <w:pPr>
        <w:spacing w:before="240"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The escalation of geopolitical tensions involving Iran during 2026 therefore raised concerns regarding the movement and competitiveness of Indian agricultural exports. Such disruptions can affect exports through several channels. Higher freight and insurance costs may reduce export competitiveness, while shipment delays and uncertainty may influence importer demand and destination-market conditions. At the same time, exporters may respond by redirecting shipments towards alternative destinations, potentially reducing the adverse effect in affected markets. Thus, the effect of a geopolitical disruption need not be uniform across commodities or destinations and may reflect both vulnerability and adaptation. Recent discussions have highlighted the implications of the Iran conflict for India's trade facilitation, logistics and supply chains (De et al., 2026; Pal et al., 2026).</w:t>
      </w:r>
    </w:p>
    <w:p w14:paraId="49C4351A" w14:textId="77777777" w:rsidR="003D35BB" w:rsidRPr="00ED62DC" w:rsidRDefault="003D35BB" w:rsidP="00BC29BB">
      <w:pPr>
        <w:spacing w:before="240"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 xml:space="preserve">Despite increasing concerns over the implications of the Iran conflict for global food systems and international trade, existing studies have primarily focused on energy markets, fertilizer availability, supply-chain disruptions and broader macroeconomic effects (Hebebrand et al., 2026; Pal et al., 2026; </w:t>
      </w:r>
      <w:proofErr w:type="spellStart"/>
      <w:r w:rsidRPr="00ED62DC">
        <w:rPr>
          <w:rFonts w:ascii="Times New Roman" w:hAnsi="Times New Roman" w:cs="Times New Roman"/>
          <w:color w:val="000000" w:themeColor="text1"/>
          <w:sz w:val="20"/>
          <w:szCs w:val="20"/>
        </w:rPr>
        <w:t>Borbaruah</w:t>
      </w:r>
      <w:proofErr w:type="spellEnd"/>
      <w:r w:rsidRPr="00ED62DC">
        <w:rPr>
          <w:rFonts w:ascii="Times New Roman" w:hAnsi="Times New Roman" w:cs="Times New Roman"/>
          <w:color w:val="000000" w:themeColor="text1"/>
          <w:sz w:val="20"/>
          <w:szCs w:val="20"/>
        </w:rPr>
        <w:t xml:space="preserve"> et al., 2026). Relatively limited attention has been given to India's seed spice exports, particularly the commodity-specific and destination-specific responses to geopolitical disruptions. This is important because seed spices differ considerably in their export orientation, destination structure and dependence on international markets. Recent reports also indicate weakness in India's exports of selected spices, including cumin, associated with changes in demand in </w:t>
      </w:r>
      <w:r w:rsidRPr="00ED62DC">
        <w:rPr>
          <w:rFonts w:ascii="Times New Roman" w:hAnsi="Times New Roman" w:cs="Times New Roman"/>
          <w:color w:val="000000" w:themeColor="text1"/>
          <w:sz w:val="20"/>
          <w:szCs w:val="20"/>
        </w:rPr>
        <w:lastRenderedPageBreak/>
        <w:t xml:space="preserve">major international markets (Economic Times Agriculture, 2026; </w:t>
      </w:r>
      <w:proofErr w:type="spellStart"/>
      <w:r w:rsidRPr="00ED62DC">
        <w:rPr>
          <w:rFonts w:ascii="Times New Roman" w:hAnsi="Times New Roman" w:cs="Times New Roman"/>
          <w:color w:val="000000" w:themeColor="text1"/>
          <w:sz w:val="20"/>
          <w:szCs w:val="20"/>
        </w:rPr>
        <w:t>IGrain</w:t>
      </w:r>
      <w:proofErr w:type="spellEnd"/>
      <w:r w:rsidRPr="00ED62DC">
        <w:rPr>
          <w:rFonts w:ascii="Times New Roman" w:hAnsi="Times New Roman" w:cs="Times New Roman"/>
          <w:color w:val="000000" w:themeColor="text1"/>
          <w:sz w:val="20"/>
          <w:szCs w:val="20"/>
        </w:rPr>
        <w:t xml:space="preserve"> India, 2026; Parikh, 2026).</w:t>
      </w:r>
    </w:p>
    <w:p w14:paraId="3CB5EDB4" w14:textId="33846387" w:rsidR="003D35BB" w:rsidRPr="00ED62DC" w:rsidRDefault="003D35BB" w:rsidP="00BC29BB">
      <w:pPr>
        <w:spacing w:before="240"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Against this background, the present study examines the export performance and domestic price behaviour of four major Indian seed spices namely cumin, coriander, fennel and fenugreek, during the period of heightened geopolitical tensions associated with the 2026 Iran conflict. The central empirical questions are: (</w:t>
      </w:r>
      <w:proofErr w:type="spellStart"/>
      <w:r w:rsidRPr="00ED62DC">
        <w:rPr>
          <w:rFonts w:ascii="Times New Roman" w:hAnsi="Times New Roman" w:cs="Times New Roman"/>
          <w:color w:val="000000" w:themeColor="text1"/>
          <w:sz w:val="20"/>
          <w:szCs w:val="20"/>
        </w:rPr>
        <w:t>i</w:t>
      </w:r>
      <w:proofErr w:type="spellEnd"/>
      <w:r w:rsidRPr="00ED62DC">
        <w:rPr>
          <w:rFonts w:ascii="Times New Roman" w:hAnsi="Times New Roman" w:cs="Times New Roman"/>
          <w:color w:val="000000" w:themeColor="text1"/>
          <w:sz w:val="20"/>
          <w:szCs w:val="20"/>
        </w:rPr>
        <w:t>) how did the export quantity and value of major seed spices change during 2025-26 compared with 2024-25 and during the period of heightened geopolitical tensions; (ii) did GCC-oriented markets exhibit different export responses compared with other destinations; and (iii) how did domestic prices of major seed spices behave during the period of geopolitical uncertainty?</w:t>
      </w:r>
    </w:p>
    <w:p w14:paraId="574B35AE" w14:textId="0205240B" w:rsidR="003D35BB" w:rsidRPr="00ED62DC" w:rsidRDefault="003D35BB" w:rsidP="00BC29BB">
      <w:pPr>
        <w:spacing w:before="240"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The study contributes to the existing literature by providing commodity and destination specific evidence on India's seed spice exports during a contemporary geopolitical disruption. In addition to examining changes in export quantity and value, the study considers domestic price behaviour and changes in destination markets that may indicate trade diversification or reorientation. The analysis does not assume that observed changes are attributable solely to the Iran conflict, as export performance and domestic prices may also be influenced by international prices, destination-specific demand, freight conditions and broader changes in global trade. The findings therefore provide descriptive evidence on the vulnerability and adaptive responses of India's seed spice trade during a period of geopolitical disruption and have implications for market diversification and trade-risk management.</w:t>
      </w:r>
    </w:p>
    <w:p w14:paraId="10163F4F" w14:textId="77777777" w:rsidR="0044481E" w:rsidRPr="00ED62DC" w:rsidRDefault="0044481E" w:rsidP="0044481E">
      <w:pPr>
        <w:spacing w:after="0" w:line="240" w:lineRule="auto"/>
        <w:jc w:val="both"/>
        <w:rPr>
          <w:rFonts w:ascii="Times New Roman" w:hAnsi="Times New Roman" w:cs="Times New Roman"/>
          <w:b/>
          <w:bCs/>
          <w:color w:val="000000" w:themeColor="text1"/>
          <w:sz w:val="10"/>
          <w:szCs w:val="10"/>
        </w:rPr>
      </w:pPr>
    </w:p>
    <w:p w14:paraId="2A0BB409" w14:textId="2CD55B24" w:rsidR="00C121FD" w:rsidRPr="00ED62DC" w:rsidRDefault="004B0A86" w:rsidP="0044481E">
      <w:pPr>
        <w:spacing w:after="0" w:line="240" w:lineRule="auto"/>
        <w:jc w:val="both"/>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Methodology</w:t>
      </w:r>
    </w:p>
    <w:p w14:paraId="051C81A9" w14:textId="77777777" w:rsidR="008D6C3E" w:rsidRPr="00ED62DC" w:rsidRDefault="008D6C3E" w:rsidP="00BC29BB">
      <w:pPr>
        <w:spacing w:before="240"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"The analysis primarily used a descriptive comparative approach to examine changes in export quantity, export value and domestic prices during the period of heightened geopolitical tensions. Monthly and weekly price movements were examined to identify changes in market behaviour around the period of heightened tensions. Destination-wise analysis was undertaken to assess differences between GCC and non-GCC markets and to identify possible trade reorientation. Since export performance is influenced simultaneously by several factors, including international prices, exchange rates, destination demand, freight conditions and seasonal factors, the observed changes are interpreted as associations occurring during the period of geopolitical disruption rather than as estimates of the isolated causal effect of the Iran conflict."</w:t>
      </w:r>
    </w:p>
    <w:p w14:paraId="4760C6ED" w14:textId="4942073D" w:rsidR="005F68CA" w:rsidRPr="00ED62DC" w:rsidRDefault="005F68CA" w:rsidP="00BC29BB">
      <w:pPr>
        <w:spacing w:before="240" w:after="0" w:line="240" w:lineRule="auto"/>
        <w:jc w:val="both"/>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Results and Discussion</w:t>
      </w:r>
    </w:p>
    <w:p w14:paraId="1E191A84" w14:textId="3741964F" w:rsidR="003948B4" w:rsidRPr="00ED62DC" w:rsidRDefault="00555648" w:rsidP="00BC29BB">
      <w:pPr>
        <w:spacing w:before="240"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 xml:space="preserve">The ongoing tensions involving the United States, Israel, and Iran </w:t>
      </w:r>
      <w:r w:rsidR="004D1984" w:rsidRPr="00ED62DC">
        <w:rPr>
          <w:rFonts w:ascii="Times New Roman" w:hAnsi="Times New Roman" w:cs="Times New Roman"/>
          <w:color w:val="000000" w:themeColor="text1"/>
          <w:sz w:val="20"/>
          <w:szCs w:val="20"/>
        </w:rPr>
        <w:t xml:space="preserve">with subsequent closure of the Strait of Hormuz </w:t>
      </w:r>
      <w:r w:rsidRPr="00ED62DC">
        <w:rPr>
          <w:rFonts w:ascii="Times New Roman" w:hAnsi="Times New Roman" w:cs="Times New Roman"/>
          <w:color w:val="000000" w:themeColor="text1"/>
          <w:sz w:val="20"/>
          <w:szCs w:val="20"/>
        </w:rPr>
        <w:t xml:space="preserve">represent a significant geopolitical crisis with extensive consequences for global trade dynamics, energy markets, </w:t>
      </w:r>
      <w:r w:rsidRPr="00ED62DC">
        <w:rPr>
          <w:rFonts w:ascii="Times New Roman" w:hAnsi="Times New Roman" w:cs="Times New Roman"/>
          <w:color w:val="000000" w:themeColor="text1"/>
          <w:sz w:val="20"/>
          <w:szCs w:val="20"/>
        </w:rPr>
        <w:lastRenderedPageBreak/>
        <w:t>and business landscapes</w:t>
      </w:r>
      <w:r w:rsidR="00455698" w:rsidRPr="00ED62DC">
        <w:rPr>
          <w:rFonts w:ascii="Times New Roman" w:hAnsi="Times New Roman" w:cs="Times New Roman"/>
          <w:color w:val="000000" w:themeColor="text1"/>
          <w:sz w:val="20"/>
          <w:szCs w:val="20"/>
        </w:rPr>
        <w:t xml:space="preserve">. The Strait of Hormuz, handles nearly one-fifth of India’s total merchandise imports and is estimated to affect around 14 per cent of exports in 2024-25. Besides, 30 per cent of India’s fertilizer imports originating from nine West Asian countries, namely, Bahrain, Iran, Iraq, Kuwait, Oman, Qatar, Saudi Arabia, the UAE and Yemen. </w:t>
      </w:r>
      <w:r w:rsidR="00C17121" w:rsidRPr="00ED62DC">
        <w:rPr>
          <w:rFonts w:ascii="Times New Roman" w:hAnsi="Times New Roman" w:cs="Times New Roman"/>
          <w:color w:val="000000" w:themeColor="text1"/>
          <w:sz w:val="20"/>
          <w:szCs w:val="20"/>
        </w:rPr>
        <w:t>T</w:t>
      </w:r>
      <w:r w:rsidR="00455698" w:rsidRPr="00ED62DC">
        <w:rPr>
          <w:rFonts w:ascii="Times New Roman" w:hAnsi="Times New Roman" w:cs="Times New Roman"/>
          <w:color w:val="000000" w:themeColor="text1"/>
          <w:sz w:val="20"/>
          <w:szCs w:val="20"/>
        </w:rPr>
        <w:t>hese countries also represent 14 per cent of India’s total exports, agricultural exports account for 21 per cent</w:t>
      </w:r>
      <w:r w:rsidR="003C3B24" w:rsidRPr="00ED62DC">
        <w:rPr>
          <w:rFonts w:ascii="Times New Roman" w:hAnsi="Times New Roman" w:cs="Times New Roman"/>
          <w:color w:val="000000" w:themeColor="text1"/>
          <w:sz w:val="20"/>
          <w:szCs w:val="20"/>
        </w:rPr>
        <w:t xml:space="preserve"> and 15 per cent of spice export from India </w:t>
      </w:r>
      <w:r w:rsidR="004D1984" w:rsidRPr="00ED62DC">
        <w:rPr>
          <w:rFonts w:ascii="Times New Roman" w:hAnsi="Times New Roman" w:cs="Times New Roman"/>
          <w:color w:val="000000" w:themeColor="text1"/>
          <w:sz w:val="20"/>
          <w:szCs w:val="20"/>
        </w:rPr>
        <w:t>(Prabir et al., 2026</w:t>
      </w:r>
      <w:r w:rsidR="003C3B24" w:rsidRPr="00ED62DC">
        <w:rPr>
          <w:rFonts w:ascii="Times New Roman" w:hAnsi="Times New Roman" w:cs="Times New Roman"/>
          <w:color w:val="000000" w:themeColor="text1"/>
          <w:sz w:val="20"/>
          <w:szCs w:val="20"/>
        </w:rPr>
        <w:t>; Spice Board India, 2026</w:t>
      </w:r>
      <w:r w:rsidR="004D1984" w:rsidRPr="00ED62DC">
        <w:rPr>
          <w:rFonts w:ascii="Times New Roman" w:hAnsi="Times New Roman" w:cs="Times New Roman"/>
          <w:color w:val="000000" w:themeColor="text1"/>
          <w:sz w:val="20"/>
          <w:szCs w:val="20"/>
        </w:rPr>
        <w:t>)</w:t>
      </w:r>
      <w:r w:rsidRPr="00ED62DC">
        <w:rPr>
          <w:rFonts w:ascii="Times New Roman" w:hAnsi="Times New Roman" w:cs="Times New Roman"/>
          <w:color w:val="000000" w:themeColor="text1"/>
          <w:sz w:val="20"/>
          <w:szCs w:val="20"/>
        </w:rPr>
        <w:t xml:space="preserve">. </w:t>
      </w:r>
      <w:r w:rsidR="00455698" w:rsidRPr="00ED62DC">
        <w:rPr>
          <w:rFonts w:ascii="Times New Roman" w:hAnsi="Times New Roman" w:cs="Times New Roman"/>
          <w:color w:val="000000" w:themeColor="text1"/>
          <w:sz w:val="20"/>
          <w:szCs w:val="20"/>
        </w:rPr>
        <w:t xml:space="preserve">It is </w:t>
      </w:r>
      <w:r w:rsidR="00456E2F" w:rsidRPr="00ED62DC">
        <w:rPr>
          <w:rFonts w:ascii="Times New Roman" w:hAnsi="Times New Roman" w:cs="Times New Roman"/>
          <w:color w:val="000000" w:themeColor="text1"/>
          <w:sz w:val="20"/>
          <w:szCs w:val="20"/>
        </w:rPr>
        <w:t>a critical maritime gateway for Indian spice exports destined for the Gulf Cooperation Council (GCC) countries. In addition, major transshipment hubs in the UAE facilitate onward movement of Indian spices to Europe</w:t>
      </w:r>
      <w:r w:rsidR="00910273" w:rsidRPr="00ED62DC">
        <w:rPr>
          <w:rFonts w:ascii="Times New Roman" w:hAnsi="Times New Roman" w:cs="Times New Roman"/>
          <w:color w:val="000000" w:themeColor="text1"/>
          <w:sz w:val="20"/>
          <w:szCs w:val="20"/>
        </w:rPr>
        <w:t xml:space="preserve"> (U.K, Germany, Netherland, France, Italy and Spain)</w:t>
      </w:r>
      <w:r w:rsidR="00456E2F" w:rsidRPr="00ED62DC">
        <w:rPr>
          <w:rFonts w:ascii="Times New Roman" w:hAnsi="Times New Roman" w:cs="Times New Roman"/>
          <w:color w:val="000000" w:themeColor="text1"/>
          <w:sz w:val="20"/>
          <w:szCs w:val="20"/>
        </w:rPr>
        <w:t>, North Africa</w:t>
      </w:r>
      <w:r w:rsidR="00910273" w:rsidRPr="00ED62DC">
        <w:rPr>
          <w:rFonts w:ascii="Times New Roman" w:hAnsi="Times New Roman" w:cs="Times New Roman"/>
          <w:color w:val="000000" w:themeColor="text1"/>
          <w:sz w:val="20"/>
          <w:szCs w:val="20"/>
        </w:rPr>
        <w:t xml:space="preserve"> (Egypt</w:t>
      </w:r>
      <w:r w:rsidR="00456E2F" w:rsidRPr="00ED62DC">
        <w:rPr>
          <w:rFonts w:ascii="Times New Roman" w:hAnsi="Times New Roman" w:cs="Times New Roman"/>
          <w:color w:val="000000" w:themeColor="text1"/>
          <w:sz w:val="20"/>
          <w:szCs w:val="20"/>
        </w:rPr>
        <w:t>,</w:t>
      </w:r>
      <w:r w:rsidR="00910273" w:rsidRPr="00ED62DC">
        <w:rPr>
          <w:rFonts w:ascii="Times New Roman" w:hAnsi="Times New Roman" w:cs="Times New Roman"/>
          <w:color w:val="000000" w:themeColor="text1"/>
          <w:sz w:val="20"/>
          <w:szCs w:val="20"/>
        </w:rPr>
        <w:t xml:space="preserve"> </w:t>
      </w:r>
      <w:proofErr w:type="spellStart"/>
      <w:r w:rsidR="00910273" w:rsidRPr="00ED62DC">
        <w:rPr>
          <w:rFonts w:ascii="Times New Roman" w:hAnsi="Times New Roman" w:cs="Times New Roman"/>
          <w:color w:val="000000" w:themeColor="text1"/>
          <w:sz w:val="20"/>
          <w:szCs w:val="20"/>
        </w:rPr>
        <w:t>Morraco</w:t>
      </w:r>
      <w:proofErr w:type="spellEnd"/>
      <w:r w:rsidR="00910273" w:rsidRPr="00ED62DC">
        <w:rPr>
          <w:rFonts w:ascii="Times New Roman" w:hAnsi="Times New Roman" w:cs="Times New Roman"/>
          <w:color w:val="000000" w:themeColor="text1"/>
          <w:sz w:val="20"/>
          <w:szCs w:val="20"/>
        </w:rPr>
        <w:t>, Algeria)</w:t>
      </w:r>
      <w:r w:rsidR="00456E2F" w:rsidRPr="00ED62DC">
        <w:rPr>
          <w:rFonts w:ascii="Times New Roman" w:hAnsi="Times New Roman" w:cs="Times New Roman"/>
          <w:color w:val="000000" w:themeColor="text1"/>
          <w:sz w:val="20"/>
          <w:szCs w:val="20"/>
        </w:rPr>
        <w:t xml:space="preserve"> and North America</w:t>
      </w:r>
      <w:r w:rsidR="00910273" w:rsidRPr="00ED62DC">
        <w:rPr>
          <w:rFonts w:ascii="Times New Roman" w:hAnsi="Times New Roman" w:cs="Times New Roman"/>
          <w:color w:val="000000" w:themeColor="text1"/>
          <w:sz w:val="20"/>
          <w:szCs w:val="20"/>
        </w:rPr>
        <w:t xml:space="preserve"> (U.S.A. and Canada)</w:t>
      </w:r>
      <w:r w:rsidR="00456E2F" w:rsidRPr="00ED62DC">
        <w:rPr>
          <w:rFonts w:ascii="Times New Roman" w:hAnsi="Times New Roman" w:cs="Times New Roman"/>
          <w:color w:val="000000" w:themeColor="text1"/>
          <w:sz w:val="20"/>
          <w:szCs w:val="20"/>
        </w:rPr>
        <w:t xml:space="preserve">. </w:t>
      </w:r>
      <w:r w:rsidR="003E7C41" w:rsidRPr="00ED62DC">
        <w:rPr>
          <w:rFonts w:ascii="Times New Roman" w:hAnsi="Times New Roman" w:cs="Times New Roman"/>
          <w:color w:val="000000" w:themeColor="text1"/>
          <w:sz w:val="20"/>
          <w:szCs w:val="20"/>
        </w:rPr>
        <w:t xml:space="preserve">India’s major export products to GCC destinations are agricultural items including rice, tea and spices. </w:t>
      </w:r>
      <w:r w:rsidR="00385F07" w:rsidRPr="00ED62DC">
        <w:rPr>
          <w:rFonts w:ascii="Times New Roman" w:hAnsi="Times New Roman" w:cs="Times New Roman"/>
          <w:color w:val="000000" w:themeColor="text1"/>
          <w:sz w:val="20"/>
          <w:szCs w:val="20"/>
        </w:rPr>
        <w:t>The d</w:t>
      </w:r>
      <w:r w:rsidR="00456E2F" w:rsidRPr="00ED62DC">
        <w:rPr>
          <w:rFonts w:ascii="Times New Roman" w:hAnsi="Times New Roman" w:cs="Times New Roman"/>
          <w:color w:val="000000" w:themeColor="text1"/>
          <w:sz w:val="20"/>
          <w:szCs w:val="20"/>
        </w:rPr>
        <w:t xml:space="preserve">isruptions in the Strait </w:t>
      </w:r>
      <w:r w:rsidR="00385F07" w:rsidRPr="00ED62DC">
        <w:rPr>
          <w:rFonts w:ascii="Times New Roman" w:hAnsi="Times New Roman" w:cs="Times New Roman"/>
          <w:color w:val="000000" w:themeColor="text1"/>
          <w:sz w:val="20"/>
          <w:szCs w:val="20"/>
        </w:rPr>
        <w:t>have</w:t>
      </w:r>
      <w:r w:rsidR="00456E2F" w:rsidRPr="00ED62DC">
        <w:rPr>
          <w:rFonts w:ascii="Times New Roman" w:hAnsi="Times New Roman" w:cs="Times New Roman"/>
          <w:color w:val="000000" w:themeColor="text1"/>
          <w:sz w:val="20"/>
          <w:szCs w:val="20"/>
        </w:rPr>
        <w:t xml:space="preserve"> increase</w:t>
      </w:r>
      <w:r w:rsidR="003E7C41" w:rsidRPr="00ED62DC">
        <w:rPr>
          <w:rFonts w:ascii="Times New Roman" w:hAnsi="Times New Roman" w:cs="Times New Roman"/>
          <w:color w:val="000000" w:themeColor="text1"/>
          <w:sz w:val="20"/>
          <w:szCs w:val="20"/>
        </w:rPr>
        <w:t>d</w:t>
      </w:r>
      <w:r w:rsidR="00456E2F" w:rsidRPr="00ED62DC">
        <w:rPr>
          <w:rFonts w:ascii="Times New Roman" w:hAnsi="Times New Roman" w:cs="Times New Roman"/>
          <w:color w:val="000000" w:themeColor="text1"/>
          <w:sz w:val="20"/>
          <w:szCs w:val="20"/>
        </w:rPr>
        <w:t xml:space="preserve"> freight charges, insurance costs, and transit times</w:t>
      </w:r>
      <w:r w:rsidR="00223ACC" w:rsidRPr="00ED62DC">
        <w:rPr>
          <w:rFonts w:ascii="Times New Roman" w:hAnsi="Times New Roman" w:cs="Times New Roman"/>
          <w:color w:val="000000" w:themeColor="text1"/>
          <w:sz w:val="20"/>
          <w:szCs w:val="20"/>
        </w:rPr>
        <w:t xml:space="preserve"> (</w:t>
      </w:r>
      <w:proofErr w:type="spellStart"/>
      <w:r w:rsidR="00223ACC" w:rsidRPr="00ED62DC">
        <w:rPr>
          <w:rFonts w:ascii="Times New Roman" w:hAnsi="Times New Roman" w:cs="Times New Roman"/>
          <w:color w:val="000000" w:themeColor="text1"/>
          <w:sz w:val="20"/>
          <w:szCs w:val="20"/>
        </w:rPr>
        <w:t>Dambuja</w:t>
      </w:r>
      <w:proofErr w:type="spellEnd"/>
      <w:r w:rsidR="00223ACC" w:rsidRPr="00ED62DC">
        <w:rPr>
          <w:rFonts w:ascii="Times New Roman" w:hAnsi="Times New Roman" w:cs="Times New Roman"/>
          <w:color w:val="000000" w:themeColor="text1"/>
          <w:sz w:val="20"/>
          <w:szCs w:val="20"/>
        </w:rPr>
        <w:t xml:space="preserve"> et al., 2026)</w:t>
      </w:r>
      <w:r w:rsidR="00456E2F" w:rsidRPr="00ED62DC">
        <w:rPr>
          <w:rFonts w:ascii="Times New Roman" w:hAnsi="Times New Roman" w:cs="Times New Roman"/>
          <w:color w:val="000000" w:themeColor="text1"/>
          <w:sz w:val="20"/>
          <w:szCs w:val="20"/>
        </w:rPr>
        <w:t>, adversely affecting the competitiveness of Indian spice exports.</w:t>
      </w:r>
      <w:r w:rsidR="003E7C41" w:rsidRPr="00ED62DC">
        <w:rPr>
          <w:rFonts w:ascii="Times New Roman" w:hAnsi="Times New Roman" w:cs="Times New Roman"/>
          <w:color w:val="000000" w:themeColor="text1"/>
          <w:sz w:val="20"/>
          <w:szCs w:val="20"/>
        </w:rPr>
        <w:t xml:space="preserve"> </w:t>
      </w:r>
      <w:r w:rsidR="003948B4" w:rsidRPr="00ED62DC">
        <w:rPr>
          <w:rFonts w:ascii="Times New Roman" w:hAnsi="Times New Roman" w:cs="Times New Roman"/>
          <w:color w:val="000000" w:themeColor="text1"/>
          <w:sz w:val="20"/>
          <w:szCs w:val="20"/>
        </w:rPr>
        <w:t xml:space="preserve">During 2025-26, </w:t>
      </w:r>
      <w:r w:rsidR="003D24A3" w:rsidRPr="00ED62DC">
        <w:rPr>
          <w:rFonts w:ascii="Times New Roman" w:hAnsi="Times New Roman" w:cs="Times New Roman"/>
          <w:color w:val="000000" w:themeColor="text1"/>
          <w:sz w:val="20"/>
          <w:szCs w:val="20"/>
        </w:rPr>
        <w:t xml:space="preserve">Gulf </w:t>
      </w:r>
      <w:r w:rsidR="003948B4" w:rsidRPr="00ED62DC">
        <w:rPr>
          <w:rFonts w:ascii="Times New Roman" w:hAnsi="Times New Roman" w:cs="Times New Roman"/>
          <w:color w:val="000000" w:themeColor="text1"/>
          <w:sz w:val="20"/>
          <w:szCs w:val="20"/>
        </w:rPr>
        <w:t xml:space="preserve">countries </w:t>
      </w:r>
      <w:r w:rsidR="003C3B24" w:rsidRPr="00ED62DC">
        <w:rPr>
          <w:rFonts w:ascii="Times New Roman" w:hAnsi="Times New Roman" w:cs="Times New Roman"/>
          <w:color w:val="000000" w:themeColor="text1"/>
          <w:sz w:val="20"/>
          <w:szCs w:val="20"/>
        </w:rPr>
        <w:t xml:space="preserve">along with USA and Israil </w:t>
      </w:r>
      <w:r w:rsidR="003D24A3" w:rsidRPr="00ED62DC">
        <w:rPr>
          <w:rFonts w:ascii="Times New Roman" w:hAnsi="Times New Roman" w:cs="Times New Roman"/>
          <w:color w:val="000000" w:themeColor="text1"/>
          <w:sz w:val="20"/>
          <w:szCs w:val="20"/>
        </w:rPr>
        <w:t>constitute most important export destinations for Indian spices and spice products</w:t>
      </w:r>
      <w:r w:rsidR="003948B4" w:rsidRPr="00ED62DC">
        <w:rPr>
          <w:rFonts w:ascii="Times New Roman" w:hAnsi="Times New Roman" w:cs="Times New Roman"/>
          <w:color w:val="000000" w:themeColor="text1"/>
          <w:sz w:val="20"/>
          <w:szCs w:val="20"/>
        </w:rPr>
        <w:t>,</w:t>
      </w:r>
      <w:r w:rsidR="00760748" w:rsidRPr="00ED62DC">
        <w:rPr>
          <w:rFonts w:ascii="Times New Roman" w:hAnsi="Times New Roman" w:cs="Times New Roman"/>
          <w:color w:val="000000" w:themeColor="text1"/>
          <w:sz w:val="20"/>
          <w:szCs w:val="20"/>
        </w:rPr>
        <w:t xml:space="preserve"> jointly contributing 23 </w:t>
      </w:r>
      <w:r w:rsidR="00760748" w:rsidRPr="00ED62DC">
        <w:rPr>
          <w:rFonts w:ascii="Times New Roman" w:hAnsi="Times New Roman" w:cs="Times New Roman"/>
          <w:color w:val="000000" w:themeColor="text1"/>
          <w:sz w:val="20"/>
          <w:szCs w:val="20"/>
        </w:rPr>
        <w:lastRenderedPageBreak/>
        <w:t>and 32 per cent share to total spice export volume and value</w:t>
      </w:r>
      <w:r w:rsidR="003948B4" w:rsidRPr="00ED62DC">
        <w:rPr>
          <w:rFonts w:ascii="Times New Roman" w:hAnsi="Times New Roman" w:cs="Times New Roman"/>
          <w:color w:val="000000" w:themeColor="text1"/>
          <w:sz w:val="20"/>
          <w:szCs w:val="20"/>
        </w:rPr>
        <w:t>,</w:t>
      </w:r>
      <w:r w:rsidR="00760748" w:rsidRPr="00ED62DC">
        <w:rPr>
          <w:rFonts w:ascii="Times New Roman" w:hAnsi="Times New Roman" w:cs="Times New Roman"/>
          <w:color w:val="000000" w:themeColor="text1"/>
          <w:sz w:val="20"/>
          <w:szCs w:val="20"/>
        </w:rPr>
        <w:t xml:space="preserve"> respectively</w:t>
      </w:r>
      <w:r w:rsidR="003D24A3" w:rsidRPr="00ED62DC">
        <w:rPr>
          <w:rFonts w:ascii="Times New Roman" w:hAnsi="Times New Roman" w:cs="Times New Roman"/>
          <w:color w:val="000000" w:themeColor="text1"/>
          <w:sz w:val="20"/>
          <w:szCs w:val="20"/>
        </w:rPr>
        <w:t xml:space="preserve">. </w:t>
      </w:r>
    </w:p>
    <w:p w14:paraId="50B654D4" w14:textId="77777777" w:rsidR="005B27E2" w:rsidRPr="00ED62DC" w:rsidRDefault="003D24A3" w:rsidP="00BC29BB">
      <w:pPr>
        <w:spacing w:before="240" w:after="0" w:line="240" w:lineRule="auto"/>
        <w:jc w:val="both"/>
        <w:rPr>
          <w:rFonts w:ascii="Times New Roman" w:hAnsi="Times New Roman" w:cs="Times New Roman"/>
          <w:color w:val="000000" w:themeColor="text1"/>
          <w:szCs w:val="24"/>
        </w:rPr>
        <w:sectPr w:rsidR="005B27E2" w:rsidRPr="00ED62DC" w:rsidSect="008E25CC">
          <w:footerReference w:type="default" r:id="rId17"/>
          <w:type w:val="continuous"/>
          <w:pgSz w:w="11906" w:h="16838"/>
          <w:pgMar w:top="1440" w:right="1133" w:bottom="1440" w:left="1276" w:header="1134" w:footer="567" w:gutter="0"/>
          <w:cols w:num="2" w:space="425"/>
          <w:docGrid w:linePitch="360"/>
        </w:sectPr>
      </w:pPr>
      <w:r w:rsidRPr="00ED62DC">
        <w:rPr>
          <w:rFonts w:ascii="Times New Roman" w:hAnsi="Times New Roman" w:cs="Times New Roman"/>
          <w:color w:val="000000" w:themeColor="text1"/>
          <w:sz w:val="20"/>
          <w:szCs w:val="20"/>
        </w:rPr>
        <w:t>India exports a wide range of seed spices and value-added spice products such as cumin, coriander, fennel, fenugreek, curry powder/paste, spice oils and oleoresins to these markets.</w:t>
      </w:r>
      <w:r w:rsidR="003948B4" w:rsidRPr="00ED62DC">
        <w:rPr>
          <w:rFonts w:ascii="Times New Roman" w:hAnsi="Times New Roman" w:cs="Times New Roman"/>
          <w:color w:val="000000" w:themeColor="text1"/>
          <w:sz w:val="20"/>
          <w:szCs w:val="20"/>
        </w:rPr>
        <w:t xml:space="preserve"> </w:t>
      </w:r>
      <w:r w:rsidR="003E7C41" w:rsidRPr="00ED62DC">
        <w:rPr>
          <w:rFonts w:ascii="Times New Roman" w:hAnsi="Times New Roman" w:cs="Times New Roman"/>
          <w:color w:val="000000" w:themeColor="text1"/>
          <w:sz w:val="20"/>
          <w:szCs w:val="20"/>
        </w:rPr>
        <w:t>Table</w:t>
      </w:r>
      <w:r w:rsidR="00BE0406" w:rsidRPr="00ED62DC">
        <w:rPr>
          <w:rFonts w:ascii="Times New Roman" w:hAnsi="Times New Roman" w:cs="Times New Roman"/>
          <w:color w:val="000000" w:themeColor="text1"/>
          <w:sz w:val="20"/>
          <w:szCs w:val="20"/>
        </w:rPr>
        <w:t xml:space="preserve"> 1</w:t>
      </w:r>
      <w:r w:rsidR="003E7C41" w:rsidRPr="00ED62DC">
        <w:rPr>
          <w:rFonts w:ascii="Times New Roman" w:hAnsi="Times New Roman" w:cs="Times New Roman"/>
          <w:color w:val="000000" w:themeColor="text1"/>
          <w:sz w:val="20"/>
          <w:szCs w:val="20"/>
        </w:rPr>
        <w:t xml:space="preserve"> indicates that the Gulf countries have emerged as an increasingly important market for India’s seed spices and total spice exports, highlighting the strategic significance of maritime trade routes through the Strait of Hormuz. During 202</w:t>
      </w:r>
      <w:r w:rsidR="002E4AF5" w:rsidRPr="00ED62DC">
        <w:rPr>
          <w:rFonts w:ascii="Times New Roman" w:hAnsi="Times New Roman" w:cs="Times New Roman"/>
          <w:color w:val="000000" w:themeColor="text1"/>
          <w:sz w:val="20"/>
          <w:szCs w:val="20"/>
        </w:rPr>
        <w:t>1-</w:t>
      </w:r>
      <w:r w:rsidR="003E7C41" w:rsidRPr="00ED62DC">
        <w:rPr>
          <w:rFonts w:ascii="Times New Roman" w:hAnsi="Times New Roman" w:cs="Times New Roman"/>
          <w:color w:val="000000" w:themeColor="text1"/>
          <w:sz w:val="20"/>
          <w:szCs w:val="20"/>
        </w:rPr>
        <w:t>2</w:t>
      </w:r>
      <w:r w:rsidR="002E4AF5" w:rsidRPr="00ED62DC">
        <w:rPr>
          <w:rFonts w:ascii="Times New Roman" w:hAnsi="Times New Roman" w:cs="Times New Roman"/>
          <w:color w:val="000000" w:themeColor="text1"/>
          <w:sz w:val="20"/>
          <w:szCs w:val="20"/>
        </w:rPr>
        <w:t>2</w:t>
      </w:r>
      <w:r w:rsidR="003E7C41" w:rsidRPr="00ED62DC">
        <w:rPr>
          <w:rFonts w:ascii="Times New Roman" w:hAnsi="Times New Roman" w:cs="Times New Roman"/>
          <w:color w:val="000000" w:themeColor="text1"/>
          <w:sz w:val="20"/>
          <w:szCs w:val="20"/>
        </w:rPr>
        <w:t xml:space="preserve"> to 202</w:t>
      </w:r>
      <w:r w:rsidR="002E4AF5" w:rsidRPr="00ED62DC">
        <w:rPr>
          <w:rFonts w:ascii="Times New Roman" w:hAnsi="Times New Roman" w:cs="Times New Roman"/>
          <w:color w:val="000000" w:themeColor="text1"/>
          <w:sz w:val="20"/>
          <w:szCs w:val="20"/>
        </w:rPr>
        <w:t>5-</w:t>
      </w:r>
      <w:r w:rsidR="003E7C41" w:rsidRPr="00ED62DC">
        <w:rPr>
          <w:rFonts w:ascii="Times New Roman" w:hAnsi="Times New Roman" w:cs="Times New Roman"/>
          <w:color w:val="000000" w:themeColor="text1"/>
          <w:sz w:val="20"/>
          <w:szCs w:val="20"/>
        </w:rPr>
        <w:t>2</w:t>
      </w:r>
      <w:r w:rsidR="002E4AF5" w:rsidRPr="00ED62DC">
        <w:rPr>
          <w:rFonts w:ascii="Times New Roman" w:hAnsi="Times New Roman" w:cs="Times New Roman"/>
          <w:color w:val="000000" w:themeColor="text1"/>
          <w:sz w:val="20"/>
          <w:szCs w:val="20"/>
        </w:rPr>
        <w:t>6</w:t>
      </w:r>
      <w:r w:rsidR="003E7C41" w:rsidRPr="00ED62DC">
        <w:rPr>
          <w:rFonts w:ascii="Times New Roman" w:hAnsi="Times New Roman" w:cs="Times New Roman"/>
          <w:color w:val="000000" w:themeColor="text1"/>
          <w:sz w:val="20"/>
          <w:szCs w:val="20"/>
        </w:rPr>
        <w:t xml:space="preserve">, India’s seed spice exports to Gulf countries increased from </w:t>
      </w:r>
      <w:r w:rsidR="002E4AF5" w:rsidRPr="00ED62DC">
        <w:rPr>
          <w:rFonts w:ascii="Times New Roman" w:hAnsi="Times New Roman" w:cs="Times New Roman"/>
          <w:color w:val="000000" w:themeColor="text1"/>
          <w:sz w:val="20"/>
          <w:szCs w:val="20"/>
        </w:rPr>
        <w:t>4.45</w:t>
      </w:r>
      <w:r w:rsidR="003E7C41" w:rsidRPr="00ED62DC">
        <w:rPr>
          <w:rFonts w:ascii="Times New Roman" w:hAnsi="Times New Roman" w:cs="Times New Roman"/>
          <w:color w:val="000000" w:themeColor="text1"/>
          <w:sz w:val="20"/>
          <w:szCs w:val="20"/>
        </w:rPr>
        <w:t xml:space="preserve"> to </w:t>
      </w:r>
      <w:r w:rsidR="00345176" w:rsidRPr="00ED62DC">
        <w:rPr>
          <w:rFonts w:ascii="Times New Roman" w:hAnsi="Times New Roman" w:cs="Times New Roman"/>
          <w:color w:val="000000" w:themeColor="text1"/>
          <w:sz w:val="20"/>
          <w:szCs w:val="20"/>
        </w:rPr>
        <w:t>4.93 lakh tons,</w:t>
      </w:r>
      <w:r w:rsidR="003E7C41" w:rsidRPr="00ED62DC">
        <w:rPr>
          <w:rFonts w:ascii="Times New Roman" w:hAnsi="Times New Roman" w:cs="Times New Roman"/>
          <w:color w:val="000000" w:themeColor="text1"/>
          <w:sz w:val="20"/>
          <w:szCs w:val="20"/>
        </w:rPr>
        <w:t xml:space="preserve"> while export value rose sharply from ₹</w:t>
      </w:r>
      <w:r w:rsidR="00345176" w:rsidRPr="00ED62DC">
        <w:rPr>
          <w:rFonts w:ascii="Times New Roman" w:hAnsi="Times New Roman" w:cs="Times New Roman"/>
          <w:color w:val="000000" w:themeColor="text1"/>
          <w:sz w:val="20"/>
          <w:szCs w:val="20"/>
        </w:rPr>
        <w:t>6162 crore</w:t>
      </w:r>
      <w:r w:rsidR="003E7C41" w:rsidRPr="00ED62DC">
        <w:rPr>
          <w:rFonts w:ascii="Times New Roman" w:hAnsi="Times New Roman" w:cs="Times New Roman"/>
          <w:color w:val="000000" w:themeColor="text1"/>
          <w:sz w:val="20"/>
          <w:szCs w:val="20"/>
        </w:rPr>
        <w:t xml:space="preserve"> to ₹</w:t>
      </w:r>
      <w:r w:rsidR="00345176" w:rsidRPr="00ED62DC">
        <w:rPr>
          <w:rFonts w:ascii="Times New Roman" w:hAnsi="Times New Roman" w:cs="Times New Roman"/>
          <w:color w:val="000000" w:themeColor="text1"/>
          <w:sz w:val="20"/>
          <w:szCs w:val="20"/>
        </w:rPr>
        <w:t>8894 crore</w:t>
      </w:r>
      <w:r w:rsidR="003E7C41" w:rsidRPr="00ED62DC">
        <w:rPr>
          <w:rFonts w:ascii="Times New Roman" w:hAnsi="Times New Roman" w:cs="Times New Roman"/>
          <w:color w:val="000000" w:themeColor="text1"/>
          <w:sz w:val="20"/>
          <w:szCs w:val="20"/>
        </w:rPr>
        <w:t xml:space="preserve">. Consequently, the Gulf region’s share in India’s seed spice exports increased from </w:t>
      </w:r>
      <w:r w:rsidR="00345176" w:rsidRPr="00ED62DC">
        <w:rPr>
          <w:rFonts w:ascii="Times New Roman" w:hAnsi="Times New Roman" w:cs="Times New Roman"/>
          <w:color w:val="000000" w:themeColor="text1"/>
          <w:sz w:val="20"/>
          <w:szCs w:val="20"/>
        </w:rPr>
        <w:t>12.90</w:t>
      </w:r>
      <w:r w:rsidR="003E7C41" w:rsidRPr="00ED62DC">
        <w:rPr>
          <w:rFonts w:ascii="Times New Roman" w:hAnsi="Times New Roman" w:cs="Times New Roman"/>
          <w:color w:val="000000" w:themeColor="text1"/>
          <w:sz w:val="20"/>
          <w:szCs w:val="20"/>
        </w:rPr>
        <w:t xml:space="preserve"> per cent in quantity and </w:t>
      </w:r>
      <w:r w:rsidR="00345176" w:rsidRPr="00ED62DC">
        <w:rPr>
          <w:rFonts w:ascii="Times New Roman" w:hAnsi="Times New Roman" w:cs="Times New Roman"/>
          <w:color w:val="000000" w:themeColor="text1"/>
          <w:sz w:val="20"/>
          <w:szCs w:val="20"/>
        </w:rPr>
        <w:t>13.51</w:t>
      </w:r>
      <w:r w:rsidR="003E7C41" w:rsidRPr="00ED62DC">
        <w:rPr>
          <w:rFonts w:ascii="Times New Roman" w:hAnsi="Times New Roman" w:cs="Times New Roman"/>
          <w:color w:val="000000" w:themeColor="text1"/>
          <w:sz w:val="20"/>
          <w:szCs w:val="20"/>
        </w:rPr>
        <w:t xml:space="preserve"> per cent in value during 202</w:t>
      </w:r>
      <w:r w:rsidR="00345176" w:rsidRPr="00ED62DC">
        <w:rPr>
          <w:rFonts w:ascii="Times New Roman" w:hAnsi="Times New Roman" w:cs="Times New Roman"/>
          <w:color w:val="000000" w:themeColor="text1"/>
          <w:sz w:val="20"/>
          <w:szCs w:val="20"/>
        </w:rPr>
        <w:t>1-22</w:t>
      </w:r>
      <w:r w:rsidR="003E7C41" w:rsidRPr="00ED62DC">
        <w:rPr>
          <w:rFonts w:ascii="Times New Roman" w:hAnsi="Times New Roman" w:cs="Times New Roman"/>
          <w:color w:val="000000" w:themeColor="text1"/>
          <w:sz w:val="20"/>
          <w:szCs w:val="20"/>
        </w:rPr>
        <w:t xml:space="preserve"> to </w:t>
      </w:r>
      <w:r w:rsidR="00345176" w:rsidRPr="00ED62DC">
        <w:rPr>
          <w:rFonts w:ascii="Times New Roman" w:hAnsi="Times New Roman" w:cs="Times New Roman"/>
          <w:color w:val="000000" w:themeColor="text1"/>
          <w:sz w:val="20"/>
          <w:szCs w:val="20"/>
        </w:rPr>
        <w:t>20.36</w:t>
      </w:r>
      <w:r w:rsidR="003E7C41" w:rsidRPr="00ED62DC">
        <w:rPr>
          <w:rFonts w:ascii="Times New Roman" w:hAnsi="Times New Roman" w:cs="Times New Roman"/>
          <w:color w:val="000000" w:themeColor="text1"/>
          <w:sz w:val="20"/>
          <w:szCs w:val="20"/>
        </w:rPr>
        <w:t xml:space="preserve"> </w:t>
      </w:r>
      <w:r w:rsidR="003948B4" w:rsidRPr="00ED62DC">
        <w:rPr>
          <w:rFonts w:ascii="Times New Roman" w:hAnsi="Times New Roman" w:cs="Times New Roman"/>
          <w:color w:val="000000" w:themeColor="text1"/>
          <w:sz w:val="20"/>
          <w:szCs w:val="20"/>
        </w:rPr>
        <w:t xml:space="preserve">per cent in quantity </w:t>
      </w:r>
      <w:r w:rsidR="003E7C41" w:rsidRPr="00ED62DC">
        <w:rPr>
          <w:rFonts w:ascii="Times New Roman" w:hAnsi="Times New Roman" w:cs="Times New Roman"/>
          <w:color w:val="000000" w:themeColor="text1"/>
          <w:sz w:val="20"/>
          <w:szCs w:val="20"/>
        </w:rPr>
        <w:t xml:space="preserve">and </w:t>
      </w:r>
      <w:r w:rsidR="00345176" w:rsidRPr="00ED62DC">
        <w:rPr>
          <w:rFonts w:ascii="Times New Roman" w:hAnsi="Times New Roman" w:cs="Times New Roman"/>
          <w:color w:val="000000" w:themeColor="text1"/>
          <w:sz w:val="20"/>
          <w:szCs w:val="20"/>
        </w:rPr>
        <w:t>21.03</w:t>
      </w:r>
      <w:r w:rsidR="003E7C41" w:rsidRPr="00ED62DC">
        <w:rPr>
          <w:rFonts w:ascii="Times New Roman" w:hAnsi="Times New Roman" w:cs="Times New Roman"/>
          <w:color w:val="000000" w:themeColor="text1"/>
          <w:sz w:val="20"/>
          <w:szCs w:val="20"/>
        </w:rPr>
        <w:t xml:space="preserve"> per cent</w:t>
      </w:r>
      <w:r w:rsidR="003948B4" w:rsidRPr="00ED62DC">
        <w:rPr>
          <w:rFonts w:ascii="Times New Roman" w:hAnsi="Times New Roman" w:cs="Times New Roman"/>
          <w:color w:val="000000" w:themeColor="text1"/>
          <w:sz w:val="20"/>
          <w:szCs w:val="20"/>
        </w:rPr>
        <w:t xml:space="preserve"> in value during</w:t>
      </w:r>
      <w:r w:rsidR="003E7C41" w:rsidRPr="00ED62DC">
        <w:rPr>
          <w:rFonts w:ascii="Times New Roman" w:hAnsi="Times New Roman" w:cs="Times New Roman"/>
          <w:color w:val="000000" w:themeColor="text1"/>
          <w:sz w:val="20"/>
          <w:szCs w:val="20"/>
        </w:rPr>
        <w:t xml:space="preserve"> 202</w:t>
      </w:r>
      <w:r w:rsidR="00345176" w:rsidRPr="00ED62DC">
        <w:rPr>
          <w:rFonts w:ascii="Times New Roman" w:hAnsi="Times New Roman" w:cs="Times New Roman"/>
          <w:color w:val="000000" w:themeColor="text1"/>
          <w:sz w:val="20"/>
          <w:szCs w:val="20"/>
        </w:rPr>
        <w:t>5-26</w:t>
      </w:r>
      <w:r w:rsidR="003E7C41" w:rsidRPr="00ED62DC">
        <w:rPr>
          <w:rFonts w:ascii="Times New Roman" w:hAnsi="Times New Roman" w:cs="Times New Roman"/>
          <w:color w:val="000000" w:themeColor="text1"/>
          <w:sz w:val="20"/>
          <w:szCs w:val="20"/>
        </w:rPr>
        <w:t>. Similarly, Gulf countries</w:t>
      </w:r>
      <w:r w:rsidR="00E01690" w:rsidRPr="00ED62DC">
        <w:rPr>
          <w:rFonts w:ascii="Times New Roman" w:hAnsi="Times New Roman" w:cs="Times New Roman"/>
          <w:color w:val="000000" w:themeColor="text1"/>
          <w:sz w:val="20"/>
          <w:szCs w:val="20"/>
        </w:rPr>
        <w:t xml:space="preserve"> share </w:t>
      </w:r>
      <w:r w:rsidR="00C17121" w:rsidRPr="00ED62DC">
        <w:rPr>
          <w:rFonts w:ascii="Times New Roman" w:hAnsi="Times New Roman" w:cs="Times New Roman"/>
          <w:color w:val="000000" w:themeColor="text1"/>
          <w:sz w:val="20"/>
          <w:szCs w:val="20"/>
        </w:rPr>
        <w:t xml:space="preserve">in total spice export </w:t>
      </w:r>
      <w:r w:rsidR="00E01690" w:rsidRPr="00ED62DC">
        <w:rPr>
          <w:rFonts w:ascii="Times New Roman" w:hAnsi="Times New Roman" w:cs="Times New Roman"/>
          <w:color w:val="000000" w:themeColor="text1"/>
          <w:sz w:val="20"/>
          <w:szCs w:val="20"/>
        </w:rPr>
        <w:t xml:space="preserve">increased over the period reaching to </w:t>
      </w:r>
      <w:r w:rsidR="003E7C41" w:rsidRPr="00ED62DC">
        <w:rPr>
          <w:rFonts w:ascii="Times New Roman" w:hAnsi="Times New Roman" w:cs="Times New Roman"/>
          <w:color w:val="000000" w:themeColor="text1"/>
          <w:sz w:val="20"/>
          <w:szCs w:val="20"/>
        </w:rPr>
        <w:t xml:space="preserve">16 per cent </w:t>
      </w:r>
      <w:r w:rsidR="00E01690" w:rsidRPr="00ED62DC">
        <w:rPr>
          <w:rFonts w:ascii="Times New Roman" w:hAnsi="Times New Roman" w:cs="Times New Roman"/>
          <w:color w:val="000000" w:themeColor="text1"/>
          <w:sz w:val="20"/>
          <w:szCs w:val="20"/>
        </w:rPr>
        <w:t>in</w:t>
      </w:r>
      <w:r w:rsidR="003E7C41" w:rsidRPr="00ED62DC">
        <w:rPr>
          <w:rFonts w:ascii="Times New Roman" w:hAnsi="Times New Roman" w:cs="Times New Roman"/>
          <w:color w:val="000000" w:themeColor="text1"/>
          <w:sz w:val="20"/>
          <w:szCs w:val="20"/>
        </w:rPr>
        <w:t xml:space="preserve"> quantity and over 1</w:t>
      </w:r>
      <w:r w:rsidR="00345176" w:rsidRPr="00ED62DC">
        <w:rPr>
          <w:rFonts w:ascii="Times New Roman" w:hAnsi="Times New Roman" w:cs="Times New Roman"/>
          <w:color w:val="000000" w:themeColor="text1"/>
          <w:sz w:val="20"/>
          <w:szCs w:val="20"/>
        </w:rPr>
        <w:t>8</w:t>
      </w:r>
      <w:r w:rsidR="003E7C41" w:rsidRPr="00ED62DC">
        <w:rPr>
          <w:rFonts w:ascii="Times New Roman" w:hAnsi="Times New Roman" w:cs="Times New Roman"/>
          <w:color w:val="000000" w:themeColor="text1"/>
          <w:sz w:val="20"/>
          <w:szCs w:val="20"/>
        </w:rPr>
        <w:t xml:space="preserve"> per cent of export value by 202</w:t>
      </w:r>
      <w:r w:rsidR="00345176" w:rsidRPr="00ED62DC">
        <w:rPr>
          <w:rFonts w:ascii="Times New Roman" w:hAnsi="Times New Roman" w:cs="Times New Roman"/>
          <w:color w:val="000000" w:themeColor="text1"/>
          <w:sz w:val="20"/>
          <w:szCs w:val="20"/>
        </w:rPr>
        <w:t>5-26</w:t>
      </w:r>
      <w:r w:rsidR="003E7C41" w:rsidRPr="00ED62DC">
        <w:rPr>
          <w:rFonts w:ascii="Times New Roman" w:hAnsi="Times New Roman" w:cs="Times New Roman"/>
          <w:color w:val="000000" w:themeColor="text1"/>
          <w:sz w:val="20"/>
          <w:szCs w:val="20"/>
        </w:rPr>
        <w:t xml:space="preserve">. The </w:t>
      </w:r>
      <w:r w:rsidR="00C17121" w:rsidRPr="00ED62DC">
        <w:rPr>
          <w:rFonts w:ascii="Times New Roman" w:hAnsi="Times New Roman" w:cs="Times New Roman"/>
          <w:color w:val="000000" w:themeColor="text1"/>
          <w:sz w:val="20"/>
          <w:szCs w:val="20"/>
        </w:rPr>
        <w:t>trend</w:t>
      </w:r>
      <w:r w:rsidR="003E7C41" w:rsidRPr="00ED62DC">
        <w:rPr>
          <w:rFonts w:ascii="Times New Roman" w:hAnsi="Times New Roman" w:cs="Times New Roman"/>
          <w:color w:val="000000" w:themeColor="text1"/>
          <w:sz w:val="20"/>
          <w:szCs w:val="20"/>
        </w:rPr>
        <w:t xml:space="preserve"> implies that any disruption in the Strait of Hormuz due to geopolitical tensions or closure could adversely </w:t>
      </w:r>
      <w:r w:rsidR="00E01690" w:rsidRPr="00ED62DC">
        <w:rPr>
          <w:rFonts w:ascii="Times New Roman" w:hAnsi="Times New Roman" w:cs="Times New Roman"/>
          <w:color w:val="000000" w:themeColor="text1"/>
          <w:sz w:val="20"/>
          <w:szCs w:val="20"/>
        </w:rPr>
        <w:t>affect</w:t>
      </w:r>
      <w:r w:rsidR="003E7C41" w:rsidRPr="00ED62DC">
        <w:rPr>
          <w:rFonts w:ascii="Times New Roman" w:hAnsi="Times New Roman" w:cs="Times New Roman"/>
          <w:color w:val="000000" w:themeColor="text1"/>
          <w:sz w:val="20"/>
          <w:szCs w:val="20"/>
        </w:rPr>
        <w:t xml:space="preserve"> export earnings, market stability, and India’s position in the global spice trade.</w:t>
      </w:r>
    </w:p>
    <w:p w14:paraId="23DFD596" w14:textId="5D1194D0" w:rsidR="000D1C12" w:rsidRPr="00ED62DC" w:rsidRDefault="003E7C41" w:rsidP="003E7C41">
      <w:pPr>
        <w:spacing w:before="240"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b/>
          <w:bCs/>
          <w:color w:val="000000" w:themeColor="text1"/>
          <w:sz w:val="20"/>
          <w:szCs w:val="20"/>
        </w:rPr>
        <w:lastRenderedPageBreak/>
        <w:t xml:space="preserve">Table 1. </w:t>
      </w:r>
      <w:r w:rsidRPr="00ED62DC">
        <w:rPr>
          <w:rFonts w:ascii="Times New Roman" w:hAnsi="Times New Roman" w:cs="Times New Roman"/>
          <w:color w:val="000000" w:themeColor="text1"/>
          <w:sz w:val="20"/>
          <w:szCs w:val="20"/>
        </w:rPr>
        <w:t xml:space="preserve">Trend in spice and </w:t>
      </w:r>
      <w:r w:rsidR="0010008D" w:rsidRPr="00ED62DC">
        <w:rPr>
          <w:rFonts w:ascii="Times New Roman" w:hAnsi="Times New Roman" w:cs="Times New Roman"/>
          <w:color w:val="000000" w:themeColor="text1"/>
          <w:sz w:val="20"/>
          <w:szCs w:val="20"/>
        </w:rPr>
        <w:t>seed</w:t>
      </w:r>
      <w:r w:rsidRPr="00ED62DC">
        <w:rPr>
          <w:rFonts w:ascii="Times New Roman" w:hAnsi="Times New Roman" w:cs="Times New Roman"/>
          <w:color w:val="000000" w:themeColor="text1"/>
          <w:sz w:val="20"/>
          <w:szCs w:val="20"/>
        </w:rPr>
        <w:t xml:space="preserve"> spice export quantity and value to </w:t>
      </w:r>
      <w:r w:rsidR="00223ACC" w:rsidRPr="00ED62DC">
        <w:rPr>
          <w:rFonts w:ascii="Times New Roman" w:hAnsi="Times New Roman" w:cs="Times New Roman"/>
          <w:color w:val="000000" w:themeColor="text1"/>
          <w:sz w:val="20"/>
          <w:szCs w:val="20"/>
        </w:rPr>
        <w:t>W</w:t>
      </w:r>
      <w:r w:rsidRPr="00ED62DC">
        <w:rPr>
          <w:rFonts w:ascii="Times New Roman" w:hAnsi="Times New Roman" w:cs="Times New Roman"/>
          <w:color w:val="000000" w:themeColor="text1"/>
          <w:sz w:val="20"/>
          <w:szCs w:val="20"/>
        </w:rPr>
        <w:t xml:space="preserve">orld and </w:t>
      </w:r>
      <w:r w:rsidR="00C17121" w:rsidRPr="00ED62DC">
        <w:rPr>
          <w:rFonts w:ascii="Times New Roman" w:hAnsi="Times New Roman" w:cs="Times New Roman"/>
          <w:color w:val="000000" w:themeColor="text1"/>
          <w:sz w:val="20"/>
          <w:szCs w:val="20"/>
        </w:rPr>
        <w:t xml:space="preserve">GCC </w:t>
      </w:r>
      <w:r w:rsidRPr="00ED62DC">
        <w:rPr>
          <w:rFonts w:ascii="Times New Roman" w:hAnsi="Times New Roman" w:cs="Times New Roman"/>
          <w:color w:val="000000" w:themeColor="text1"/>
          <w:sz w:val="20"/>
          <w:szCs w:val="20"/>
        </w:rPr>
        <w:t>countries with percent share</w:t>
      </w:r>
    </w:p>
    <w:p w14:paraId="7BA72910" w14:textId="77777777" w:rsidR="000D1C12" w:rsidRPr="00ED62DC" w:rsidRDefault="000D1C12" w:rsidP="000D1C12">
      <w:pPr>
        <w:spacing w:after="0" w:line="240" w:lineRule="auto"/>
        <w:jc w:val="both"/>
        <w:rPr>
          <w:rFonts w:ascii="Times New Roman" w:hAnsi="Times New Roman" w:cs="Times New Roman"/>
          <w:color w:val="000000" w:themeColor="text1"/>
          <w:sz w:val="20"/>
          <w:szCs w:val="20"/>
        </w:rPr>
      </w:pPr>
    </w:p>
    <w:tbl>
      <w:tblPr>
        <w:tblW w:w="8703" w:type="dxa"/>
        <w:jc w:val="center"/>
        <w:tblLook w:val="04A0" w:firstRow="1" w:lastRow="0" w:firstColumn="1" w:lastColumn="0" w:noHBand="0" w:noVBand="1"/>
      </w:tblPr>
      <w:tblGrid>
        <w:gridCol w:w="939"/>
        <w:gridCol w:w="1452"/>
        <w:gridCol w:w="974"/>
        <w:gridCol w:w="867"/>
        <w:gridCol w:w="1027"/>
        <w:gridCol w:w="1169"/>
        <w:gridCol w:w="1042"/>
        <w:gridCol w:w="1233"/>
      </w:tblGrid>
      <w:tr w:rsidR="008A4F90" w:rsidRPr="00ED62DC" w14:paraId="08C52180" w14:textId="77777777" w:rsidTr="000D1C12">
        <w:trPr>
          <w:trHeight w:val="199"/>
          <w:jc w:val="center"/>
        </w:trPr>
        <w:tc>
          <w:tcPr>
            <w:tcW w:w="0" w:type="auto"/>
            <w:vMerge w:val="restart"/>
            <w:tcBorders>
              <w:top w:val="single" w:sz="4" w:space="0" w:color="auto"/>
            </w:tcBorders>
            <w:noWrap/>
            <w:hideMark/>
          </w:tcPr>
          <w:p w14:paraId="68C32763" w14:textId="4A3CAACB" w:rsidR="008A4F90" w:rsidRPr="00ED62DC" w:rsidRDefault="008A4F90" w:rsidP="008A4F9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Year</w:t>
            </w:r>
          </w:p>
        </w:tc>
        <w:tc>
          <w:tcPr>
            <w:tcW w:w="0" w:type="auto"/>
            <w:vMerge w:val="restart"/>
            <w:tcBorders>
              <w:top w:val="single" w:sz="4" w:space="0" w:color="auto"/>
            </w:tcBorders>
            <w:noWrap/>
            <w:hideMark/>
          </w:tcPr>
          <w:p w14:paraId="21CAF269" w14:textId="0ECDA3EE" w:rsidR="008A4F90" w:rsidRPr="00ED62DC" w:rsidRDefault="008A4F90" w:rsidP="008A4F9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 Particulars</w:t>
            </w:r>
          </w:p>
        </w:tc>
        <w:tc>
          <w:tcPr>
            <w:tcW w:w="0" w:type="auto"/>
            <w:gridSpan w:val="3"/>
            <w:tcBorders>
              <w:top w:val="single" w:sz="4" w:space="0" w:color="auto"/>
            </w:tcBorders>
            <w:noWrap/>
            <w:hideMark/>
          </w:tcPr>
          <w:p w14:paraId="01C259C6" w14:textId="77777777" w:rsidR="008A4F90" w:rsidRPr="00ED62DC" w:rsidRDefault="008A4F90" w:rsidP="008A4F90">
            <w:pPr>
              <w:spacing w:after="0" w:line="240" w:lineRule="auto"/>
              <w:jc w:val="center"/>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Total Spices</w:t>
            </w:r>
          </w:p>
        </w:tc>
        <w:tc>
          <w:tcPr>
            <w:tcW w:w="0" w:type="auto"/>
            <w:gridSpan w:val="3"/>
            <w:tcBorders>
              <w:top w:val="single" w:sz="4" w:space="0" w:color="auto"/>
            </w:tcBorders>
            <w:noWrap/>
            <w:hideMark/>
          </w:tcPr>
          <w:p w14:paraId="17FABA2D" w14:textId="77777777" w:rsidR="008A4F90" w:rsidRPr="00ED62DC" w:rsidRDefault="008A4F90" w:rsidP="008A4F90">
            <w:pPr>
              <w:spacing w:after="0" w:line="240" w:lineRule="auto"/>
              <w:jc w:val="center"/>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Seed spices including curry powder</w:t>
            </w:r>
          </w:p>
        </w:tc>
      </w:tr>
      <w:tr w:rsidR="008A4F90" w:rsidRPr="00ED62DC" w14:paraId="269BAB1B" w14:textId="77777777" w:rsidTr="000D1C12">
        <w:trPr>
          <w:trHeight w:val="199"/>
          <w:jc w:val="center"/>
        </w:trPr>
        <w:tc>
          <w:tcPr>
            <w:tcW w:w="0" w:type="auto"/>
            <w:vMerge/>
            <w:tcBorders>
              <w:bottom w:val="single" w:sz="4" w:space="0" w:color="auto"/>
            </w:tcBorders>
            <w:noWrap/>
            <w:hideMark/>
          </w:tcPr>
          <w:p w14:paraId="0DA2EB1E" w14:textId="59440D82" w:rsidR="008A4F90" w:rsidRPr="00ED62DC" w:rsidRDefault="008A4F90" w:rsidP="008A4F9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p>
        </w:tc>
        <w:tc>
          <w:tcPr>
            <w:tcW w:w="0" w:type="auto"/>
            <w:vMerge/>
            <w:tcBorders>
              <w:bottom w:val="single" w:sz="4" w:space="0" w:color="auto"/>
            </w:tcBorders>
            <w:noWrap/>
            <w:hideMark/>
          </w:tcPr>
          <w:p w14:paraId="3E22998B" w14:textId="5583904C" w:rsidR="008A4F90" w:rsidRPr="00ED62DC" w:rsidRDefault="008A4F90" w:rsidP="008A4F9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p>
        </w:tc>
        <w:tc>
          <w:tcPr>
            <w:tcW w:w="0" w:type="auto"/>
            <w:tcBorders>
              <w:top w:val="nil"/>
              <w:bottom w:val="single" w:sz="4" w:space="0" w:color="auto"/>
            </w:tcBorders>
            <w:noWrap/>
            <w:hideMark/>
          </w:tcPr>
          <w:p w14:paraId="50693373" w14:textId="56FB1E74" w:rsidR="008A4F90" w:rsidRPr="00ED62DC" w:rsidRDefault="00170872" w:rsidP="008A4F9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World</w:t>
            </w:r>
          </w:p>
        </w:tc>
        <w:tc>
          <w:tcPr>
            <w:tcW w:w="0" w:type="auto"/>
            <w:tcBorders>
              <w:top w:val="nil"/>
              <w:bottom w:val="single" w:sz="4" w:space="0" w:color="auto"/>
            </w:tcBorders>
            <w:noWrap/>
            <w:hideMark/>
          </w:tcPr>
          <w:p w14:paraId="6EE7A754" w14:textId="77777777" w:rsidR="008A4F90" w:rsidRPr="00ED62DC" w:rsidRDefault="008A4F90" w:rsidP="008A4F9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GCC</w:t>
            </w:r>
          </w:p>
        </w:tc>
        <w:tc>
          <w:tcPr>
            <w:tcW w:w="0" w:type="auto"/>
            <w:tcBorders>
              <w:top w:val="nil"/>
              <w:bottom w:val="single" w:sz="4" w:space="0" w:color="auto"/>
            </w:tcBorders>
            <w:noWrap/>
            <w:hideMark/>
          </w:tcPr>
          <w:p w14:paraId="480B3894" w14:textId="5CEB1C55" w:rsidR="008A4F90" w:rsidRPr="00ED62DC" w:rsidRDefault="008A4F90" w:rsidP="008A4F9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w:t>
            </w:r>
            <w:r w:rsidR="00223ACC" w:rsidRPr="00ED62DC">
              <w:rPr>
                <w:rFonts w:ascii="Times New Roman" w:eastAsia="Times New Roman" w:hAnsi="Times New Roman" w:cs="Times New Roman"/>
                <w:b/>
                <w:bCs/>
                <w:color w:val="000000" w:themeColor="text1"/>
                <w:kern w:val="0"/>
                <w:sz w:val="20"/>
                <w:szCs w:val="20"/>
                <w:lang w:eastAsia="en-IN"/>
                <w14:ligatures w14:val="none"/>
              </w:rPr>
              <w:t xml:space="preserve"> </w:t>
            </w:r>
            <w:r w:rsidRPr="00ED62DC">
              <w:rPr>
                <w:rFonts w:ascii="Times New Roman" w:eastAsia="Times New Roman" w:hAnsi="Times New Roman" w:cs="Times New Roman"/>
                <w:b/>
                <w:bCs/>
                <w:color w:val="000000" w:themeColor="text1"/>
                <w:kern w:val="0"/>
                <w:sz w:val="20"/>
                <w:szCs w:val="20"/>
                <w:lang w:eastAsia="en-IN"/>
                <w14:ligatures w14:val="none"/>
              </w:rPr>
              <w:t>Share</w:t>
            </w:r>
          </w:p>
        </w:tc>
        <w:tc>
          <w:tcPr>
            <w:tcW w:w="0" w:type="auto"/>
            <w:tcBorders>
              <w:top w:val="nil"/>
              <w:bottom w:val="single" w:sz="4" w:space="0" w:color="auto"/>
            </w:tcBorders>
            <w:noWrap/>
            <w:hideMark/>
          </w:tcPr>
          <w:p w14:paraId="7186515E" w14:textId="58450A8E" w:rsidR="008A4F90" w:rsidRPr="00ED62DC" w:rsidRDefault="00170872" w:rsidP="008A4F9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World</w:t>
            </w:r>
          </w:p>
        </w:tc>
        <w:tc>
          <w:tcPr>
            <w:tcW w:w="0" w:type="auto"/>
            <w:tcBorders>
              <w:top w:val="nil"/>
              <w:bottom w:val="single" w:sz="4" w:space="0" w:color="auto"/>
            </w:tcBorders>
            <w:noWrap/>
            <w:hideMark/>
          </w:tcPr>
          <w:p w14:paraId="48EC678D" w14:textId="77777777" w:rsidR="008A4F90" w:rsidRPr="00ED62DC" w:rsidRDefault="008A4F90" w:rsidP="008A4F9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GCC</w:t>
            </w:r>
          </w:p>
        </w:tc>
        <w:tc>
          <w:tcPr>
            <w:tcW w:w="0" w:type="auto"/>
            <w:tcBorders>
              <w:top w:val="nil"/>
              <w:bottom w:val="single" w:sz="4" w:space="0" w:color="auto"/>
            </w:tcBorders>
            <w:noWrap/>
            <w:hideMark/>
          </w:tcPr>
          <w:p w14:paraId="304D7559" w14:textId="2FB17F4E" w:rsidR="008A4F90" w:rsidRPr="00ED62DC" w:rsidRDefault="008A4F90" w:rsidP="008A4F9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 xml:space="preserve">% </w:t>
            </w:r>
            <w:r w:rsidR="00223ACC" w:rsidRPr="00ED62DC">
              <w:rPr>
                <w:rFonts w:ascii="Times New Roman" w:eastAsia="Times New Roman" w:hAnsi="Times New Roman" w:cs="Times New Roman"/>
                <w:b/>
                <w:bCs/>
                <w:color w:val="000000" w:themeColor="text1"/>
                <w:kern w:val="0"/>
                <w:sz w:val="20"/>
                <w:szCs w:val="20"/>
                <w:lang w:eastAsia="en-IN"/>
                <w14:ligatures w14:val="none"/>
              </w:rPr>
              <w:t>S</w:t>
            </w:r>
            <w:r w:rsidRPr="00ED62DC">
              <w:rPr>
                <w:rFonts w:ascii="Times New Roman" w:eastAsia="Times New Roman" w:hAnsi="Times New Roman" w:cs="Times New Roman"/>
                <w:b/>
                <w:bCs/>
                <w:color w:val="000000" w:themeColor="text1"/>
                <w:kern w:val="0"/>
                <w:sz w:val="20"/>
                <w:szCs w:val="20"/>
                <w:lang w:eastAsia="en-IN"/>
                <w14:ligatures w14:val="none"/>
              </w:rPr>
              <w:t>hare</w:t>
            </w:r>
          </w:p>
        </w:tc>
      </w:tr>
      <w:tr w:rsidR="008A4F90" w:rsidRPr="00ED62DC" w14:paraId="6AAE44CD" w14:textId="77777777" w:rsidTr="000D1C12">
        <w:trPr>
          <w:trHeight w:val="199"/>
          <w:jc w:val="center"/>
        </w:trPr>
        <w:tc>
          <w:tcPr>
            <w:tcW w:w="0" w:type="auto"/>
            <w:vMerge w:val="restart"/>
            <w:tcBorders>
              <w:top w:val="single" w:sz="4" w:space="0" w:color="auto"/>
            </w:tcBorders>
            <w:noWrap/>
            <w:vAlign w:val="center"/>
            <w:hideMark/>
          </w:tcPr>
          <w:p w14:paraId="3CFFE122" w14:textId="77777777" w:rsidR="008A4F90" w:rsidRPr="00ED62DC" w:rsidRDefault="008A4F90" w:rsidP="008A4F90">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2021-22</w:t>
            </w:r>
          </w:p>
        </w:tc>
        <w:tc>
          <w:tcPr>
            <w:tcW w:w="0" w:type="auto"/>
            <w:tcBorders>
              <w:top w:val="single" w:sz="4" w:space="0" w:color="auto"/>
            </w:tcBorders>
            <w:noWrap/>
            <w:hideMark/>
          </w:tcPr>
          <w:p w14:paraId="3F6CA347" w14:textId="555273DE"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Qty (Tons)</w:t>
            </w:r>
          </w:p>
        </w:tc>
        <w:tc>
          <w:tcPr>
            <w:tcW w:w="0" w:type="auto"/>
            <w:tcBorders>
              <w:top w:val="single" w:sz="4" w:space="0" w:color="auto"/>
            </w:tcBorders>
            <w:noWrap/>
            <w:hideMark/>
          </w:tcPr>
          <w:p w14:paraId="45C0B109"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1530661</w:t>
            </w:r>
          </w:p>
        </w:tc>
        <w:tc>
          <w:tcPr>
            <w:tcW w:w="0" w:type="auto"/>
            <w:tcBorders>
              <w:top w:val="single" w:sz="4" w:space="0" w:color="auto"/>
            </w:tcBorders>
            <w:noWrap/>
            <w:hideMark/>
          </w:tcPr>
          <w:p w14:paraId="0C5482BC"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209338</w:t>
            </w:r>
          </w:p>
        </w:tc>
        <w:tc>
          <w:tcPr>
            <w:tcW w:w="0" w:type="auto"/>
            <w:tcBorders>
              <w:top w:val="single" w:sz="4" w:space="0" w:color="auto"/>
            </w:tcBorders>
            <w:noWrap/>
            <w:hideMark/>
          </w:tcPr>
          <w:p w14:paraId="21281F52"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13.68</w:t>
            </w:r>
          </w:p>
        </w:tc>
        <w:tc>
          <w:tcPr>
            <w:tcW w:w="0" w:type="auto"/>
            <w:tcBorders>
              <w:top w:val="single" w:sz="4" w:space="0" w:color="auto"/>
            </w:tcBorders>
            <w:noWrap/>
            <w:hideMark/>
          </w:tcPr>
          <w:p w14:paraId="1B464909"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445393</w:t>
            </w:r>
          </w:p>
        </w:tc>
        <w:tc>
          <w:tcPr>
            <w:tcW w:w="0" w:type="auto"/>
            <w:tcBorders>
              <w:top w:val="single" w:sz="4" w:space="0" w:color="auto"/>
            </w:tcBorders>
            <w:noWrap/>
            <w:hideMark/>
          </w:tcPr>
          <w:p w14:paraId="726C933E"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57435</w:t>
            </w:r>
          </w:p>
        </w:tc>
        <w:tc>
          <w:tcPr>
            <w:tcW w:w="0" w:type="auto"/>
            <w:tcBorders>
              <w:top w:val="single" w:sz="4" w:space="0" w:color="auto"/>
            </w:tcBorders>
            <w:noWrap/>
            <w:hideMark/>
          </w:tcPr>
          <w:p w14:paraId="4A599B79"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12.90</w:t>
            </w:r>
          </w:p>
        </w:tc>
      </w:tr>
      <w:tr w:rsidR="008A4F90" w:rsidRPr="00ED62DC" w14:paraId="48B61441" w14:textId="77777777" w:rsidTr="000D1C12">
        <w:trPr>
          <w:trHeight w:val="285"/>
          <w:jc w:val="center"/>
        </w:trPr>
        <w:tc>
          <w:tcPr>
            <w:tcW w:w="0" w:type="auto"/>
            <w:vMerge/>
            <w:tcBorders>
              <w:top w:val="nil"/>
            </w:tcBorders>
            <w:vAlign w:val="center"/>
            <w:hideMark/>
          </w:tcPr>
          <w:p w14:paraId="3A925021" w14:textId="77777777" w:rsidR="008A4F90" w:rsidRPr="00ED62DC" w:rsidRDefault="008A4F90" w:rsidP="008A4F90">
            <w:pPr>
              <w:spacing w:after="0" w:line="240" w:lineRule="auto"/>
              <w:rPr>
                <w:rFonts w:ascii="Times New Roman" w:eastAsia="Times New Roman" w:hAnsi="Times New Roman" w:cs="Times New Roman"/>
                <w:color w:val="000000" w:themeColor="text1"/>
                <w:kern w:val="0"/>
                <w:sz w:val="20"/>
                <w:szCs w:val="20"/>
                <w:lang w:eastAsia="en-IN"/>
                <w14:ligatures w14:val="none"/>
              </w:rPr>
            </w:pPr>
          </w:p>
        </w:tc>
        <w:tc>
          <w:tcPr>
            <w:tcW w:w="0" w:type="auto"/>
            <w:tcBorders>
              <w:top w:val="nil"/>
            </w:tcBorders>
            <w:noWrap/>
            <w:hideMark/>
          </w:tcPr>
          <w:p w14:paraId="1A18CBCC" w14:textId="7C81E362"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Value (Lakhs)</w:t>
            </w:r>
          </w:p>
        </w:tc>
        <w:tc>
          <w:tcPr>
            <w:tcW w:w="0" w:type="auto"/>
            <w:tcBorders>
              <w:top w:val="nil"/>
            </w:tcBorders>
            <w:noWrap/>
            <w:hideMark/>
          </w:tcPr>
          <w:p w14:paraId="444F015D"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3032432</w:t>
            </w:r>
          </w:p>
        </w:tc>
        <w:tc>
          <w:tcPr>
            <w:tcW w:w="0" w:type="auto"/>
            <w:tcBorders>
              <w:top w:val="nil"/>
            </w:tcBorders>
            <w:noWrap/>
            <w:hideMark/>
          </w:tcPr>
          <w:p w14:paraId="25F425BA"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337891</w:t>
            </w:r>
          </w:p>
        </w:tc>
        <w:tc>
          <w:tcPr>
            <w:tcW w:w="0" w:type="auto"/>
            <w:tcBorders>
              <w:top w:val="nil"/>
            </w:tcBorders>
            <w:noWrap/>
            <w:hideMark/>
          </w:tcPr>
          <w:p w14:paraId="22581B5A"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11.14</w:t>
            </w:r>
          </w:p>
        </w:tc>
        <w:tc>
          <w:tcPr>
            <w:tcW w:w="0" w:type="auto"/>
            <w:tcBorders>
              <w:top w:val="nil"/>
            </w:tcBorders>
            <w:noWrap/>
            <w:hideMark/>
          </w:tcPr>
          <w:p w14:paraId="291E09D0"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616234</w:t>
            </w:r>
          </w:p>
        </w:tc>
        <w:tc>
          <w:tcPr>
            <w:tcW w:w="0" w:type="auto"/>
            <w:tcBorders>
              <w:top w:val="nil"/>
            </w:tcBorders>
            <w:noWrap/>
            <w:hideMark/>
          </w:tcPr>
          <w:p w14:paraId="006B3A4C"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83242</w:t>
            </w:r>
          </w:p>
        </w:tc>
        <w:tc>
          <w:tcPr>
            <w:tcW w:w="0" w:type="auto"/>
            <w:tcBorders>
              <w:top w:val="nil"/>
            </w:tcBorders>
            <w:noWrap/>
            <w:hideMark/>
          </w:tcPr>
          <w:p w14:paraId="2CA81EE5"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13.51</w:t>
            </w:r>
          </w:p>
        </w:tc>
      </w:tr>
      <w:tr w:rsidR="008A4F90" w:rsidRPr="00ED62DC" w14:paraId="19A05E75" w14:textId="77777777" w:rsidTr="000D1C12">
        <w:trPr>
          <w:trHeight w:val="233"/>
          <w:jc w:val="center"/>
        </w:trPr>
        <w:tc>
          <w:tcPr>
            <w:tcW w:w="0" w:type="auto"/>
            <w:vMerge/>
            <w:tcBorders>
              <w:top w:val="nil"/>
            </w:tcBorders>
            <w:vAlign w:val="center"/>
            <w:hideMark/>
          </w:tcPr>
          <w:p w14:paraId="0C33D786" w14:textId="77777777" w:rsidR="008A4F90" w:rsidRPr="00ED62DC" w:rsidRDefault="008A4F90" w:rsidP="008A4F90">
            <w:pPr>
              <w:spacing w:after="0" w:line="240" w:lineRule="auto"/>
              <w:rPr>
                <w:rFonts w:ascii="Times New Roman" w:eastAsia="Times New Roman" w:hAnsi="Times New Roman" w:cs="Times New Roman"/>
                <w:color w:val="000000" w:themeColor="text1"/>
                <w:kern w:val="0"/>
                <w:sz w:val="20"/>
                <w:szCs w:val="20"/>
                <w:lang w:eastAsia="en-IN"/>
                <w14:ligatures w14:val="none"/>
              </w:rPr>
            </w:pPr>
          </w:p>
        </w:tc>
        <w:tc>
          <w:tcPr>
            <w:tcW w:w="0" w:type="auto"/>
            <w:tcBorders>
              <w:top w:val="nil"/>
            </w:tcBorders>
            <w:noWrap/>
            <w:hideMark/>
          </w:tcPr>
          <w:p w14:paraId="3BDFD9A4" w14:textId="104886BB"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Value (</w:t>
            </w:r>
            <w:proofErr w:type="spellStart"/>
            <w:r w:rsidRPr="00ED62DC">
              <w:rPr>
                <w:rFonts w:ascii="Times New Roman" w:eastAsia="Times New Roman" w:hAnsi="Times New Roman" w:cs="Times New Roman"/>
                <w:color w:val="000000" w:themeColor="text1"/>
                <w:kern w:val="0"/>
                <w:sz w:val="20"/>
                <w:szCs w:val="20"/>
                <w:lang w:eastAsia="en-IN"/>
                <w14:ligatures w14:val="none"/>
              </w:rPr>
              <w:t>Mln</w:t>
            </w:r>
            <w:proofErr w:type="spellEnd"/>
            <w:r w:rsidRPr="00ED62DC">
              <w:rPr>
                <w:rFonts w:ascii="Times New Roman" w:eastAsia="Times New Roman" w:hAnsi="Times New Roman" w:cs="Times New Roman"/>
                <w:color w:val="000000" w:themeColor="text1"/>
                <w:kern w:val="0"/>
                <w:sz w:val="20"/>
                <w:szCs w:val="20"/>
                <w:lang w:eastAsia="en-IN"/>
                <w14:ligatures w14:val="none"/>
              </w:rPr>
              <w:t xml:space="preserve"> $)</w:t>
            </w:r>
          </w:p>
        </w:tc>
        <w:tc>
          <w:tcPr>
            <w:tcW w:w="0" w:type="auto"/>
            <w:tcBorders>
              <w:top w:val="nil"/>
            </w:tcBorders>
            <w:noWrap/>
            <w:hideMark/>
          </w:tcPr>
          <w:p w14:paraId="15AD37A1"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4068</w:t>
            </w:r>
          </w:p>
        </w:tc>
        <w:tc>
          <w:tcPr>
            <w:tcW w:w="0" w:type="auto"/>
            <w:tcBorders>
              <w:top w:val="nil"/>
            </w:tcBorders>
            <w:noWrap/>
            <w:hideMark/>
          </w:tcPr>
          <w:p w14:paraId="313BE72B"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453</w:t>
            </w:r>
          </w:p>
        </w:tc>
        <w:tc>
          <w:tcPr>
            <w:tcW w:w="0" w:type="auto"/>
            <w:tcBorders>
              <w:top w:val="nil"/>
            </w:tcBorders>
            <w:noWrap/>
            <w:hideMark/>
          </w:tcPr>
          <w:p w14:paraId="622021A1"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11.14</w:t>
            </w:r>
          </w:p>
        </w:tc>
        <w:tc>
          <w:tcPr>
            <w:tcW w:w="0" w:type="auto"/>
            <w:tcBorders>
              <w:top w:val="nil"/>
            </w:tcBorders>
            <w:noWrap/>
            <w:hideMark/>
          </w:tcPr>
          <w:p w14:paraId="05B7027F"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827</w:t>
            </w:r>
          </w:p>
        </w:tc>
        <w:tc>
          <w:tcPr>
            <w:tcW w:w="0" w:type="auto"/>
            <w:tcBorders>
              <w:top w:val="nil"/>
            </w:tcBorders>
            <w:noWrap/>
            <w:hideMark/>
          </w:tcPr>
          <w:p w14:paraId="58E76FEB"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112</w:t>
            </w:r>
          </w:p>
        </w:tc>
        <w:tc>
          <w:tcPr>
            <w:tcW w:w="0" w:type="auto"/>
            <w:tcBorders>
              <w:top w:val="nil"/>
            </w:tcBorders>
            <w:noWrap/>
            <w:hideMark/>
          </w:tcPr>
          <w:p w14:paraId="41BD6389"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13.51</w:t>
            </w:r>
          </w:p>
        </w:tc>
      </w:tr>
      <w:tr w:rsidR="008A4F90" w:rsidRPr="00ED62DC" w14:paraId="59535D4C" w14:textId="77777777" w:rsidTr="000D1C12">
        <w:trPr>
          <w:trHeight w:val="285"/>
          <w:jc w:val="center"/>
        </w:trPr>
        <w:tc>
          <w:tcPr>
            <w:tcW w:w="0" w:type="auto"/>
            <w:vMerge w:val="restart"/>
            <w:tcBorders>
              <w:top w:val="nil"/>
            </w:tcBorders>
            <w:noWrap/>
            <w:vAlign w:val="center"/>
            <w:hideMark/>
          </w:tcPr>
          <w:p w14:paraId="38546042" w14:textId="77777777" w:rsidR="008A4F90" w:rsidRPr="00ED62DC" w:rsidRDefault="008A4F90" w:rsidP="008A4F90">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2022-23</w:t>
            </w:r>
          </w:p>
        </w:tc>
        <w:tc>
          <w:tcPr>
            <w:tcW w:w="0" w:type="auto"/>
            <w:tcBorders>
              <w:top w:val="nil"/>
            </w:tcBorders>
            <w:noWrap/>
            <w:hideMark/>
          </w:tcPr>
          <w:p w14:paraId="17FD8ED5" w14:textId="54847E90"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Qty (Tons)</w:t>
            </w:r>
          </w:p>
        </w:tc>
        <w:tc>
          <w:tcPr>
            <w:tcW w:w="0" w:type="auto"/>
            <w:tcBorders>
              <w:top w:val="nil"/>
            </w:tcBorders>
            <w:noWrap/>
            <w:hideMark/>
          </w:tcPr>
          <w:p w14:paraId="755D4676"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1404357</w:t>
            </w:r>
          </w:p>
        </w:tc>
        <w:tc>
          <w:tcPr>
            <w:tcW w:w="0" w:type="auto"/>
            <w:tcBorders>
              <w:top w:val="nil"/>
            </w:tcBorders>
            <w:noWrap/>
            <w:hideMark/>
          </w:tcPr>
          <w:p w14:paraId="166508D7"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218776</w:t>
            </w:r>
          </w:p>
        </w:tc>
        <w:tc>
          <w:tcPr>
            <w:tcW w:w="0" w:type="auto"/>
            <w:tcBorders>
              <w:top w:val="nil"/>
            </w:tcBorders>
            <w:noWrap/>
            <w:hideMark/>
          </w:tcPr>
          <w:p w14:paraId="3D10F034"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15.58</w:t>
            </w:r>
          </w:p>
        </w:tc>
        <w:tc>
          <w:tcPr>
            <w:tcW w:w="0" w:type="auto"/>
            <w:tcBorders>
              <w:top w:val="nil"/>
            </w:tcBorders>
            <w:noWrap/>
            <w:hideMark/>
          </w:tcPr>
          <w:p w14:paraId="4DDBDB66"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417849</w:t>
            </w:r>
          </w:p>
        </w:tc>
        <w:tc>
          <w:tcPr>
            <w:tcW w:w="0" w:type="auto"/>
            <w:tcBorders>
              <w:top w:val="nil"/>
            </w:tcBorders>
            <w:noWrap/>
            <w:hideMark/>
          </w:tcPr>
          <w:p w14:paraId="067CB019"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60858</w:t>
            </w:r>
          </w:p>
        </w:tc>
        <w:tc>
          <w:tcPr>
            <w:tcW w:w="0" w:type="auto"/>
            <w:tcBorders>
              <w:top w:val="nil"/>
            </w:tcBorders>
            <w:noWrap/>
            <w:hideMark/>
          </w:tcPr>
          <w:p w14:paraId="787C72F7"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14.56</w:t>
            </w:r>
          </w:p>
        </w:tc>
      </w:tr>
      <w:tr w:rsidR="008A4F90" w:rsidRPr="00ED62DC" w14:paraId="29FA38BA" w14:textId="77777777" w:rsidTr="000D1C12">
        <w:trPr>
          <w:trHeight w:val="285"/>
          <w:jc w:val="center"/>
        </w:trPr>
        <w:tc>
          <w:tcPr>
            <w:tcW w:w="0" w:type="auto"/>
            <w:vMerge/>
            <w:tcBorders>
              <w:top w:val="nil"/>
            </w:tcBorders>
            <w:vAlign w:val="center"/>
            <w:hideMark/>
          </w:tcPr>
          <w:p w14:paraId="6E2F1847" w14:textId="77777777" w:rsidR="008A4F90" w:rsidRPr="00ED62DC" w:rsidRDefault="008A4F90" w:rsidP="008A4F90">
            <w:pPr>
              <w:spacing w:after="0" w:line="240" w:lineRule="auto"/>
              <w:rPr>
                <w:rFonts w:ascii="Times New Roman" w:eastAsia="Times New Roman" w:hAnsi="Times New Roman" w:cs="Times New Roman"/>
                <w:color w:val="000000" w:themeColor="text1"/>
                <w:kern w:val="0"/>
                <w:sz w:val="20"/>
                <w:szCs w:val="20"/>
                <w:lang w:eastAsia="en-IN"/>
                <w14:ligatures w14:val="none"/>
              </w:rPr>
            </w:pPr>
          </w:p>
        </w:tc>
        <w:tc>
          <w:tcPr>
            <w:tcW w:w="0" w:type="auto"/>
            <w:tcBorders>
              <w:top w:val="nil"/>
            </w:tcBorders>
            <w:noWrap/>
            <w:hideMark/>
          </w:tcPr>
          <w:p w14:paraId="1FC35CAC" w14:textId="4300E1D0"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Value (Lakhs)</w:t>
            </w:r>
          </w:p>
        </w:tc>
        <w:tc>
          <w:tcPr>
            <w:tcW w:w="0" w:type="auto"/>
            <w:tcBorders>
              <w:top w:val="nil"/>
            </w:tcBorders>
            <w:noWrap/>
            <w:hideMark/>
          </w:tcPr>
          <w:p w14:paraId="24C6F626"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3176138</w:t>
            </w:r>
          </w:p>
        </w:tc>
        <w:tc>
          <w:tcPr>
            <w:tcW w:w="0" w:type="auto"/>
            <w:tcBorders>
              <w:top w:val="nil"/>
            </w:tcBorders>
            <w:noWrap/>
            <w:hideMark/>
          </w:tcPr>
          <w:p w14:paraId="7FDDC41A"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377338</w:t>
            </w:r>
          </w:p>
        </w:tc>
        <w:tc>
          <w:tcPr>
            <w:tcW w:w="0" w:type="auto"/>
            <w:tcBorders>
              <w:top w:val="nil"/>
            </w:tcBorders>
            <w:noWrap/>
            <w:hideMark/>
          </w:tcPr>
          <w:p w14:paraId="79B91167"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11.88</w:t>
            </w:r>
          </w:p>
        </w:tc>
        <w:tc>
          <w:tcPr>
            <w:tcW w:w="0" w:type="auto"/>
            <w:tcBorders>
              <w:top w:val="nil"/>
            </w:tcBorders>
            <w:noWrap/>
            <w:hideMark/>
          </w:tcPr>
          <w:p w14:paraId="4BDD9547"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741513</w:t>
            </w:r>
          </w:p>
        </w:tc>
        <w:tc>
          <w:tcPr>
            <w:tcW w:w="0" w:type="auto"/>
            <w:tcBorders>
              <w:top w:val="nil"/>
            </w:tcBorders>
            <w:noWrap/>
            <w:hideMark/>
          </w:tcPr>
          <w:p w14:paraId="0EB49E30"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111161</w:t>
            </w:r>
          </w:p>
        </w:tc>
        <w:tc>
          <w:tcPr>
            <w:tcW w:w="0" w:type="auto"/>
            <w:tcBorders>
              <w:top w:val="nil"/>
            </w:tcBorders>
            <w:noWrap/>
            <w:hideMark/>
          </w:tcPr>
          <w:p w14:paraId="42253F4D"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14.99</w:t>
            </w:r>
          </w:p>
        </w:tc>
      </w:tr>
      <w:tr w:rsidR="008A4F90" w:rsidRPr="00ED62DC" w14:paraId="2C5F41EC" w14:textId="77777777" w:rsidTr="000D1C12">
        <w:trPr>
          <w:trHeight w:val="279"/>
          <w:jc w:val="center"/>
        </w:trPr>
        <w:tc>
          <w:tcPr>
            <w:tcW w:w="0" w:type="auto"/>
            <w:vMerge/>
            <w:tcBorders>
              <w:top w:val="nil"/>
            </w:tcBorders>
            <w:vAlign w:val="center"/>
            <w:hideMark/>
          </w:tcPr>
          <w:p w14:paraId="7F5F038B" w14:textId="77777777" w:rsidR="008A4F90" w:rsidRPr="00ED62DC" w:rsidRDefault="008A4F90" w:rsidP="008A4F90">
            <w:pPr>
              <w:spacing w:after="0" w:line="240" w:lineRule="auto"/>
              <w:rPr>
                <w:rFonts w:ascii="Times New Roman" w:eastAsia="Times New Roman" w:hAnsi="Times New Roman" w:cs="Times New Roman"/>
                <w:color w:val="000000" w:themeColor="text1"/>
                <w:kern w:val="0"/>
                <w:sz w:val="20"/>
                <w:szCs w:val="20"/>
                <w:lang w:eastAsia="en-IN"/>
                <w14:ligatures w14:val="none"/>
              </w:rPr>
            </w:pPr>
          </w:p>
        </w:tc>
        <w:tc>
          <w:tcPr>
            <w:tcW w:w="0" w:type="auto"/>
            <w:tcBorders>
              <w:top w:val="nil"/>
            </w:tcBorders>
            <w:noWrap/>
            <w:hideMark/>
          </w:tcPr>
          <w:p w14:paraId="7B17F2BD" w14:textId="23A5BB18"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Value (</w:t>
            </w:r>
            <w:proofErr w:type="spellStart"/>
            <w:r w:rsidRPr="00ED62DC">
              <w:rPr>
                <w:rFonts w:ascii="Times New Roman" w:eastAsia="Times New Roman" w:hAnsi="Times New Roman" w:cs="Times New Roman"/>
                <w:color w:val="000000" w:themeColor="text1"/>
                <w:kern w:val="0"/>
                <w:sz w:val="20"/>
                <w:szCs w:val="20"/>
                <w:lang w:eastAsia="en-IN"/>
                <w14:ligatures w14:val="none"/>
              </w:rPr>
              <w:t>Mln</w:t>
            </w:r>
            <w:proofErr w:type="spellEnd"/>
            <w:r w:rsidRPr="00ED62DC">
              <w:rPr>
                <w:rFonts w:ascii="Times New Roman" w:eastAsia="Times New Roman" w:hAnsi="Times New Roman" w:cs="Times New Roman"/>
                <w:color w:val="000000" w:themeColor="text1"/>
                <w:kern w:val="0"/>
                <w:sz w:val="20"/>
                <w:szCs w:val="20"/>
                <w:lang w:eastAsia="en-IN"/>
                <w14:ligatures w14:val="none"/>
              </w:rPr>
              <w:t xml:space="preserve"> $)</w:t>
            </w:r>
          </w:p>
        </w:tc>
        <w:tc>
          <w:tcPr>
            <w:tcW w:w="0" w:type="auto"/>
            <w:tcBorders>
              <w:top w:val="nil"/>
            </w:tcBorders>
            <w:noWrap/>
            <w:hideMark/>
          </w:tcPr>
          <w:p w14:paraId="60C8379E"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3953</w:t>
            </w:r>
          </w:p>
        </w:tc>
        <w:tc>
          <w:tcPr>
            <w:tcW w:w="0" w:type="auto"/>
            <w:tcBorders>
              <w:top w:val="nil"/>
            </w:tcBorders>
            <w:noWrap/>
            <w:hideMark/>
          </w:tcPr>
          <w:p w14:paraId="7C0A8515"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470</w:t>
            </w:r>
          </w:p>
        </w:tc>
        <w:tc>
          <w:tcPr>
            <w:tcW w:w="0" w:type="auto"/>
            <w:tcBorders>
              <w:top w:val="nil"/>
            </w:tcBorders>
            <w:noWrap/>
            <w:hideMark/>
          </w:tcPr>
          <w:p w14:paraId="3AA06AEB"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11.88</w:t>
            </w:r>
          </w:p>
        </w:tc>
        <w:tc>
          <w:tcPr>
            <w:tcW w:w="0" w:type="auto"/>
            <w:tcBorders>
              <w:top w:val="nil"/>
            </w:tcBorders>
            <w:noWrap/>
            <w:hideMark/>
          </w:tcPr>
          <w:p w14:paraId="37328F9D"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923</w:t>
            </w:r>
          </w:p>
        </w:tc>
        <w:tc>
          <w:tcPr>
            <w:tcW w:w="0" w:type="auto"/>
            <w:tcBorders>
              <w:top w:val="nil"/>
            </w:tcBorders>
            <w:noWrap/>
            <w:hideMark/>
          </w:tcPr>
          <w:p w14:paraId="29BC5680"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138</w:t>
            </w:r>
          </w:p>
        </w:tc>
        <w:tc>
          <w:tcPr>
            <w:tcW w:w="0" w:type="auto"/>
            <w:tcBorders>
              <w:top w:val="nil"/>
            </w:tcBorders>
            <w:noWrap/>
            <w:hideMark/>
          </w:tcPr>
          <w:p w14:paraId="394F2585"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14.99</w:t>
            </w:r>
          </w:p>
        </w:tc>
      </w:tr>
      <w:tr w:rsidR="008A4F90" w:rsidRPr="00ED62DC" w14:paraId="5D46449C" w14:textId="77777777" w:rsidTr="000D1C12">
        <w:trPr>
          <w:trHeight w:val="285"/>
          <w:jc w:val="center"/>
        </w:trPr>
        <w:tc>
          <w:tcPr>
            <w:tcW w:w="0" w:type="auto"/>
            <w:vMerge w:val="restart"/>
            <w:tcBorders>
              <w:top w:val="nil"/>
            </w:tcBorders>
            <w:noWrap/>
            <w:vAlign w:val="center"/>
            <w:hideMark/>
          </w:tcPr>
          <w:p w14:paraId="5D70D612" w14:textId="77777777" w:rsidR="008A4F90" w:rsidRPr="00ED62DC" w:rsidRDefault="008A4F90" w:rsidP="008A4F90">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2023-24</w:t>
            </w:r>
          </w:p>
        </w:tc>
        <w:tc>
          <w:tcPr>
            <w:tcW w:w="0" w:type="auto"/>
            <w:tcBorders>
              <w:top w:val="nil"/>
            </w:tcBorders>
            <w:noWrap/>
            <w:hideMark/>
          </w:tcPr>
          <w:p w14:paraId="4CD15A7D" w14:textId="38657F9D"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Qty (Tons)</w:t>
            </w:r>
          </w:p>
        </w:tc>
        <w:tc>
          <w:tcPr>
            <w:tcW w:w="0" w:type="auto"/>
            <w:tcBorders>
              <w:top w:val="nil"/>
            </w:tcBorders>
            <w:noWrap/>
            <w:hideMark/>
          </w:tcPr>
          <w:p w14:paraId="1689411C"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1539692</w:t>
            </w:r>
          </w:p>
        </w:tc>
        <w:tc>
          <w:tcPr>
            <w:tcW w:w="0" w:type="auto"/>
            <w:tcBorders>
              <w:top w:val="nil"/>
            </w:tcBorders>
            <w:noWrap/>
            <w:hideMark/>
          </w:tcPr>
          <w:p w14:paraId="2A937E87"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224916</w:t>
            </w:r>
          </w:p>
        </w:tc>
        <w:tc>
          <w:tcPr>
            <w:tcW w:w="0" w:type="auto"/>
            <w:tcBorders>
              <w:top w:val="nil"/>
            </w:tcBorders>
            <w:noWrap/>
            <w:hideMark/>
          </w:tcPr>
          <w:p w14:paraId="7769D316"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14.61</w:t>
            </w:r>
          </w:p>
        </w:tc>
        <w:tc>
          <w:tcPr>
            <w:tcW w:w="0" w:type="auto"/>
            <w:tcBorders>
              <w:top w:val="nil"/>
            </w:tcBorders>
            <w:noWrap/>
            <w:hideMark/>
          </w:tcPr>
          <w:p w14:paraId="31D3EF39"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462771</w:t>
            </w:r>
          </w:p>
        </w:tc>
        <w:tc>
          <w:tcPr>
            <w:tcW w:w="0" w:type="auto"/>
            <w:tcBorders>
              <w:top w:val="nil"/>
            </w:tcBorders>
            <w:noWrap/>
            <w:hideMark/>
          </w:tcPr>
          <w:p w14:paraId="2A8D3DD7"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78483</w:t>
            </w:r>
          </w:p>
        </w:tc>
        <w:tc>
          <w:tcPr>
            <w:tcW w:w="0" w:type="auto"/>
            <w:tcBorders>
              <w:top w:val="nil"/>
            </w:tcBorders>
            <w:noWrap/>
            <w:hideMark/>
          </w:tcPr>
          <w:p w14:paraId="078A3CAC"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16.96</w:t>
            </w:r>
          </w:p>
        </w:tc>
      </w:tr>
      <w:tr w:rsidR="008A4F90" w:rsidRPr="00ED62DC" w14:paraId="28AAED64" w14:textId="77777777" w:rsidTr="000D1C12">
        <w:trPr>
          <w:trHeight w:val="285"/>
          <w:jc w:val="center"/>
        </w:trPr>
        <w:tc>
          <w:tcPr>
            <w:tcW w:w="0" w:type="auto"/>
            <w:vMerge/>
            <w:tcBorders>
              <w:top w:val="nil"/>
            </w:tcBorders>
            <w:vAlign w:val="center"/>
            <w:hideMark/>
          </w:tcPr>
          <w:p w14:paraId="6BC3025D" w14:textId="77777777" w:rsidR="008A4F90" w:rsidRPr="00ED62DC" w:rsidRDefault="008A4F90" w:rsidP="008A4F90">
            <w:pPr>
              <w:spacing w:after="0" w:line="240" w:lineRule="auto"/>
              <w:rPr>
                <w:rFonts w:ascii="Times New Roman" w:eastAsia="Times New Roman" w:hAnsi="Times New Roman" w:cs="Times New Roman"/>
                <w:color w:val="000000" w:themeColor="text1"/>
                <w:kern w:val="0"/>
                <w:sz w:val="20"/>
                <w:szCs w:val="20"/>
                <w:lang w:eastAsia="en-IN"/>
                <w14:ligatures w14:val="none"/>
              </w:rPr>
            </w:pPr>
          </w:p>
        </w:tc>
        <w:tc>
          <w:tcPr>
            <w:tcW w:w="0" w:type="auto"/>
            <w:tcBorders>
              <w:top w:val="nil"/>
            </w:tcBorders>
            <w:noWrap/>
            <w:hideMark/>
          </w:tcPr>
          <w:p w14:paraId="333EA6FE" w14:textId="52FC925C"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Value (Lakhs)</w:t>
            </w:r>
          </w:p>
        </w:tc>
        <w:tc>
          <w:tcPr>
            <w:tcW w:w="0" w:type="auto"/>
            <w:tcBorders>
              <w:top w:val="nil"/>
            </w:tcBorders>
            <w:noWrap/>
            <w:hideMark/>
          </w:tcPr>
          <w:p w14:paraId="059925D5"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3695881</w:t>
            </w:r>
          </w:p>
        </w:tc>
        <w:tc>
          <w:tcPr>
            <w:tcW w:w="0" w:type="auto"/>
            <w:tcBorders>
              <w:top w:val="nil"/>
            </w:tcBorders>
            <w:noWrap/>
            <w:hideMark/>
          </w:tcPr>
          <w:p w14:paraId="5F4D21C3"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452043</w:t>
            </w:r>
          </w:p>
        </w:tc>
        <w:tc>
          <w:tcPr>
            <w:tcW w:w="0" w:type="auto"/>
            <w:tcBorders>
              <w:top w:val="nil"/>
            </w:tcBorders>
            <w:noWrap/>
            <w:hideMark/>
          </w:tcPr>
          <w:p w14:paraId="2D151753"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12.23</w:t>
            </w:r>
          </w:p>
        </w:tc>
        <w:tc>
          <w:tcPr>
            <w:tcW w:w="0" w:type="auto"/>
            <w:tcBorders>
              <w:top w:val="nil"/>
            </w:tcBorders>
            <w:noWrap/>
            <w:hideMark/>
          </w:tcPr>
          <w:p w14:paraId="1D2C8AB2"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990098</w:t>
            </w:r>
          </w:p>
        </w:tc>
        <w:tc>
          <w:tcPr>
            <w:tcW w:w="0" w:type="auto"/>
            <w:tcBorders>
              <w:top w:val="nil"/>
            </w:tcBorders>
            <w:noWrap/>
            <w:hideMark/>
          </w:tcPr>
          <w:p w14:paraId="50D18357"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164280</w:t>
            </w:r>
          </w:p>
        </w:tc>
        <w:tc>
          <w:tcPr>
            <w:tcW w:w="0" w:type="auto"/>
            <w:tcBorders>
              <w:top w:val="nil"/>
            </w:tcBorders>
            <w:noWrap/>
            <w:hideMark/>
          </w:tcPr>
          <w:p w14:paraId="10A86EAF"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16.59</w:t>
            </w:r>
          </w:p>
        </w:tc>
      </w:tr>
      <w:tr w:rsidR="008A4F90" w:rsidRPr="00ED62DC" w14:paraId="452A23B4" w14:textId="77777777" w:rsidTr="000D1C12">
        <w:trPr>
          <w:trHeight w:val="285"/>
          <w:jc w:val="center"/>
        </w:trPr>
        <w:tc>
          <w:tcPr>
            <w:tcW w:w="0" w:type="auto"/>
            <w:vMerge/>
            <w:tcBorders>
              <w:top w:val="nil"/>
            </w:tcBorders>
            <w:vAlign w:val="center"/>
            <w:hideMark/>
          </w:tcPr>
          <w:p w14:paraId="4061E98C" w14:textId="77777777" w:rsidR="008A4F90" w:rsidRPr="00ED62DC" w:rsidRDefault="008A4F90" w:rsidP="008A4F90">
            <w:pPr>
              <w:spacing w:after="0" w:line="240" w:lineRule="auto"/>
              <w:rPr>
                <w:rFonts w:ascii="Times New Roman" w:eastAsia="Times New Roman" w:hAnsi="Times New Roman" w:cs="Times New Roman"/>
                <w:color w:val="000000" w:themeColor="text1"/>
                <w:kern w:val="0"/>
                <w:sz w:val="20"/>
                <w:szCs w:val="20"/>
                <w:lang w:eastAsia="en-IN"/>
                <w14:ligatures w14:val="none"/>
              </w:rPr>
            </w:pPr>
          </w:p>
        </w:tc>
        <w:tc>
          <w:tcPr>
            <w:tcW w:w="0" w:type="auto"/>
            <w:tcBorders>
              <w:top w:val="nil"/>
            </w:tcBorders>
            <w:noWrap/>
            <w:hideMark/>
          </w:tcPr>
          <w:p w14:paraId="07497FFF" w14:textId="771CE8DA"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Value (</w:t>
            </w:r>
            <w:proofErr w:type="spellStart"/>
            <w:r w:rsidRPr="00ED62DC">
              <w:rPr>
                <w:rFonts w:ascii="Times New Roman" w:eastAsia="Times New Roman" w:hAnsi="Times New Roman" w:cs="Times New Roman"/>
                <w:color w:val="000000" w:themeColor="text1"/>
                <w:kern w:val="0"/>
                <w:sz w:val="20"/>
                <w:szCs w:val="20"/>
                <w:lang w:eastAsia="en-IN"/>
                <w14:ligatures w14:val="none"/>
              </w:rPr>
              <w:t>Mln</w:t>
            </w:r>
            <w:proofErr w:type="spellEnd"/>
            <w:r w:rsidRPr="00ED62DC">
              <w:rPr>
                <w:rFonts w:ascii="Times New Roman" w:eastAsia="Times New Roman" w:hAnsi="Times New Roman" w:cs="Times New Roman"/>
                <w:color w:val="000000" w:themeColor="text1"/>
                <w:kern w:val="0"/>
                <w:sz w:val="20"/>
                <w:szCs w:val="20"/>
                <w:lang w:eastAsia="en-IN"/>
                <w14:ligatures w14:val="none"/>
              </w:rPr>
              <w:t xml:space="preserve"> $)</w:t>
            </w:r>
          </w:p>
        </w:tc>
        <w:tc>
          <w:tcPr>
            <w:tcW w:w="0" w:type="auto"/>
            <w:tcBorders>
              <w:top w:val="nil"/>
            </w:tcBorders>
            <w:noWrap/>
            <w:hideMark/>
          </w:tcPr>
          <w:p w14:paraId="29C00ED6"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4464</w:t>
            </w:r>
          </w:p>
        </w:tc>
        <w:tc>
          <w:tcPr>
            <w:tcW w:w="0" w:type="auto"/>
            <w:tcBorders>
              <w:top w:val="nil"/>
            </w:tcBorders>
            <w:noWrap/>
            <w:hideMark/>
          </w:tcPr>
          <w:p w14:paraId="4806003B"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546</w:t>
            </w:r>
          </w:p>
        </w:tc>
        <w:tc>
          <w:tcPr>
            <w:tcW w:w="0" w:type="auto"/>
            <w:tcBorders>
              <w:top w:val="nil"/>
            </w:tcBorders>
            <w:noWrap/>
            <w:hideMark/>
          </w:tcPr>
          <w:p w14:paraId="2943C521"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12.23</w:t>
            </w:r>
          </w:p>
        </w:tc>
        <w:tc>
          <w:tcPr>
            <w:tcW w:w="0" w:type="auto"/>
            <w:tcBorders>
              <w:top w:val="nil"/>
            </w:tcBorders>
            <w:noWrap/>
            <w:hideMark/>
          </w:tcPr>
          <w:p w14:paraId="27EE59D5"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1196</w:t>
            </w:r>
          </w:p>
        </w:tc>
        <w:tc>
          <w:tcPr>
            <w:tcW w:w="0" w:type="auto"/>
            <w:tcBorders>
              <w:top w:val="nil"/>
            </w:tcBorders>
            <w:noWrap/>
            <w:hideMark/>
          </w:tcPr>
          <w:p w14:paraId="7DF907DB"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198</w:t>
            </w:r>
          </w:p>
        </w:tc>
        <w:tc>
          <w:tcPr>
            <w:tcW w:w="0" w:type="auto"/>
            <w:tcBorders>
              <w:top w:val="nil"/>
            </w:tcBorders>
            <w:noWrap/>
            <w:hideMark/>
          </w:tcPr>
          <w:p w14:paraId="55AF67B3"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16.59</w:t>
            </w:r>
          </w:p>
        </w:tc>
      </w:tr>
      <w:tr w:rsidR="008A4F90" w:rsidRPr="00ED62DC" w14:paraId="35777A8C" w14:textId="77777777" w:rsidTr="000D1C12">
        <w:trPr>
          <w:trHeight w:val="199"/>
          <w:jc w:val="center"/>
        </w:trPr>
        <w:tc>
          <w:tcPr>
            <w:tcW w:w="0" w:type="auto"/>
            <w:vMerge w:val="restart"/>
            <w:tcBorders>
              <w:top w:val="nil"/>
            </w:tcBorders>
            <w:noWrap/>
            <w:vAlign w:val="center"/>
            <w:hideMark/>
          </w:tcPr>
          <w:p w14:paraId="7CA89CE2" w14:textId="0E92A6B2" w:rsidR="008A4F90" w:rsidRPr="00ED62DC" w:rsidRDefault="008A4F90" w:rsidP="008A4F90">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2024-25</w:t>
            </w:r>
          </w:p>
        </w:tc>
        <w:tc>
          <w:tcPr>
            <w:tcW w:w="0" w:type="auto"/>
            <w:tcBorders>
              <w:top w:val="nil"/>
            </w:tcBorders>
            <w:noWrap/>
            <w:hideMark/>
          </w:tcPr>
          <w:p w14:paraId="6B978AE7" w14:textId="366E690B"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Qty (Tons)</w:t>
            </w:r>
          </w:p>
        </w:tc>
        <w:tc>
          <w:tcPr>
            <w:tcW w:w="0" w:type="auto"/>
            <w:tcBorders>
              <w:top w:val="nil"/>
            </w:tcBorders>
            <w:noWrap/>
            <w:hideMark/>
          </w:tcPr>
          <w:p w14:paraId="2FB8A30D"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1799267</w:t>
            </w:r>
          </w:p>
        </w:tc>
        <w:tc>
          <w:tcPr>
            <w:tcW w:w="0" w:type="auto"/>
            <w:tcBorders>
              <w:top w:val="nil"/>
            </w:tcBorders>
            <w:noWrap/>
            <w:hideMark/>
          </w:tcPr>
          <w:p w14:paraId="5953E930"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284699</w:t>
            </w:r>
          </w:p>
        </w:tc>
        <w:tc>
          <w:tcPr>
            <w:tcW w:w="0" w:type="auto"/>
            <w:tcBorders>
              <w:top w:val="nil"/>
            </w:tcBorders>
            <w:noWrap/>
            <w:hideMark/>
          </w:tcPr>
          <w:p w14:paraId="0325AA83"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15.82</w:t>
            </w:r>
          </w:p>
        </w:tc>
        <w:tc>
          <w:tcPr>
            <w:tcW w:w="0" w:type="auto"/>
            <w:tcBorders>
              <w:top w:val="nil"/>
            </w:tcBorders>
            <w:noWrap/>
            <w:hideMark/>
          </w:tcPr>
          <w:p w14:paraId="570B0F6C"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532039</w:t>
            </w:r>
          </w:p>
        </w:tc>
        <w:tc>
          <w:tcPr>
            <w:tcW w:w="0" w:type="auto"/>
            <w:tcBorders>
              <w:top w:val="nil"/>
            </w:tcBorders>
            <w:noWrap/>
            <w:hideMark/>
          </w:tcPr>
          <w:p w14:paraId="5E5B860A"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103319</w:t>
            </w:r>
          </w:p>
        </w:tc>
        <w:tc>
          <w:tcPr>
            <w:tcW w:w="0" w:type="auto"/>
            <w:tcBorders>
              <w:top w:val="nil"/>
            </w:tcBorders>
            <w:noWrap/>
            <w:hideMark/>
          </w:tcPr>
          <w:p w14:paraId="78321C60"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19.42</w:t>
            </w:r>
          </w:p>
        </w:tc>
      </w:tr>
      <w:tr w:rsidR="008A4F90" w:rsidRPr="00ED62DC" w14:paraId="666B1CFA" w14:textId="77777777" w:rsidTr="000D1C12">
        <w:trPr>
          <w:trHeight w:val="199"/>
          <w:jc w:val="center"/>
        </w:trPr>
        <w:tc>
          <w:tcPr>
            <w:tcW w:w="0" w:type="auto"/>
            <w:vMerge/>
            <w:tcBorders>
              <w:top w:val="nil"/>
            </w:tcBorders>
            <w:vAlign w:val="center"/>
            <w:hideMark/>
          </w:tcPr>
          <w:p w14:paraId="43A52773" w14:textId="77777777" w:rsidR="008A4F90" w:rsidRPr="00ED62DC" w:rsidRDefault="008A4F90" w:rsidP="008A4F90">
            <w:pPr>
              <w:spacing w:after="0" w:line="240" w:lineRule="auto"/>
              <w:rPr>
                <w:rFonts w:ascii="Times New Roman" w:eastAsia="Times New Roman" w:hAnsi="Times New Roman" w:cs="Times New Roman"/>
                <w:color w:val="000000" w:themeColor="text1"/>
                <w:kern w:val="0"/>
                <w:sz w:val="20"/>
                <w:szCs w:val="20"/>
                <w:lang w:eastAsia="en-IN"/>
                <w14:ligatures w14:val="none"/>
              </w:rPr>
            </w:pPr>
          </w:p>
        </w:tc>
        <w:tc>
          <w:tcPr>
            <w:tcW w:w="0" w:type="auto"/>
            <w:tcBorders>
              <w:top w:val="nil"/>
            </w:tcBorders>
            <w:noWrap/>
            <w:hideMark/>
          </w:tcPr>
          <w:p w14:paraId="31E73168" w14:textId="2E918B21"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Value (Lakhs)</w:t>
            </w:r>
          </w:p>
        </w:tc>
        <w:tc>
          <w:tcPr>
            <w:tcW w:w="0" w:type="auto"/>
            <w:tcBorders>
              <w:top w:val="nil"/>
            </w:tcBorders>
            <w:noWrap/>
            <w:hideMark/>
          </w:tcPr>
          <w:p w14:paraId="0D5F3954"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3999448</w:t>
            </w:r>
          </w:p>
        </w:tc>
        <w:tc>
          <w:tcPr>
            <w:tcW w:w="0" w:type="auto"/>
            <w:tcBorders>
              <w:top w:val="nil"/>
            </w:tcBorders>
            <w:noWrap/>
            <w:hideMark/>
          </w:tcPr>
          <w:p w14:paraId="1926F720"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596729</w:t>
            </w:r>
          </w:p>
        </w:tc>
        <w:tc>
          <w:tcPr>
            <w:tcW w:w="0" w:type="auto"/>
            <w:tcBorders>
              <w:top w:val="nil"/>
            </w:tcBorders>
            <w:noWrap/>
            <w:hideMark/>
          </w:tcPr>
          <w:p w14:paraId="06E35587"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14.92</w:t>
            </w:r>
          </w:p>
        </w:tc>
        <w:tc>
          <w:tcPr>
            <w:tcW w:w="0" w:type="auto"/>
            <w:tcBorders>
              <w:top w:val="nil"/>
            </w:tcBorders>
            <w:noWrap/>
            <w:hideMark/>
          </w:tcPr>
          <w:p w14:paraId="5A54D9C8"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1050676</w:t>
            </w:r>
          </w:p>
        </w:tc>
        <w:tc>
          <w:tcPr>
            <w:tcW w:w="0" w:type="auto"/>
            <w:tcBorders>
              <w:top w:val="nil"/>
            </w:tcBorders>
            <w:noWrap/>
            <w:hideMark/>
          </w:tcPr>
          <w:p w14:paraId="0433C146"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205766</w:t>
            </w:r>
          </w:p>
        </w:tc>
        <w:tc>
          <w:tcPr>
            <w:tcW w:w="0" w:type="auto"/>
            <w:tcBorders>
              <w:top w:val="nil"/>
            </w:tcBorders>
            <w:noWrap/>
            <w:hideMark/>
          </w:tcPr>
          <w:p w14:paraId="508A5852"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19.58</w:t>
            </w:r>
          </w:p>
        </w:tc>
      </w:tr>
      <w:tr w:rsidR="008A4F90" w:rsidRPr="00ED62DC" w14:paraId="0FF1D65A" w14:textId="77777777" w:rsidTr="000D1C12">
        <w:trPr>
          <w:trHeight w:val="199"/>
          <w:jc w:val="center"/>
        </w:trPr>
        <w:tc>
          <w:tcPr>
            <w:tcW w:w="0" w:type="auto"/>
            <w:vMerge/>
            <w:tcBorders>
              <w:top w:val="nil"/>
            </w:tcBorders>
            <w:vAlign w:val="center"/>
            <w:hideMark/>
          </w:tcPr>
          <w:p w14:paraId="36437ED5" w14:textId="77777777" w:rsidR="008A4F90" w:rsidRPr="00ED62DC" w:rsidRDefault="008A4F90" w:rsidP="008A4F90">
            <w:pPr>
              <w:spacing w:after="0" w:line="240" w:lineRule="auto"/>
              <w:rPr>
                <w:rFonts w:ascii="Times New Roman" w:eastAsia="Times New Roman" w:hAnsi="Times New Roman" w:cs="Times New Roman"/>
                <w:color w:val="000000" w:themeColor="text1"/>
                <w:kern w:val="0"/>
                <w:sz w:val="20"/>
                <w:szCs w:val="20"/>
                <w:lang w:eastAsia="en-IN"/>
                <w14:ligatures w14:val="none"/>
              </w:rPr>
            </w:pPr>
          </w:p>
        </w:tc>
        <w:tc>
          <w:tcPr>
            <w:tcW w:w="0" w:type="auto"/>
            <w:tcBorders>
              <w:top w:val="nil"/>
            </w:tcBorders>
            <w:noWrap/>
            <w:hideMark/>
          </w:tcPr>
          <w:p w14:paraId="56658D51" w14:textId="4C6B670B"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Value (</w:t>
            </w:r>
            <w:proofErr w:type="spellStart"/>
            <w:r w:rsidRPr="00ED62DC">
              <w:rPr>
                <w:rFonts w:ascii="Times New Roman" w:eastAsia="Times New Roman" w:hAnsi="Times New Roman" w:cs="Times New Roman"/>
                <w:color w:val="000000" w:themeColor="text1"/>
                <w:kern w:val="0"/>
                <w:sz w:val="20"/>
                <w:szCs w:val="20"/>
                <w:lang w:eastAsia="en-IN"/>
                <w14:ligatures w14:val="none"/>
              </w:rPr>
              <w:t>Mln</w:t>
            </w:r>
            <w:proofErr w:type="spellEnd"/>
            <w:r w:rsidRPr="00ED62DC">
              <w:rPr>
                <w:rFonts w:ascii="Times New Roman" w:eastAsia="Times New Roman" w:hAnsi="Times New Roman" w:cs="Times New Roman"/>
                <w:color w:val="000000" w:themeColor="text1"/>
                <w:kern w:val="0"/>
                <w:sz w:val="20"/>
                <w:szCs w:val="20"/>
                <w:lang w:eastAsia="en-IN"/>
                <w14:ligatures w14:val="none"/>
              </w:rPr>
              <w:t xml:space="preserve"> $)</w:t>
            </w:r>
          </w:p>
        </w:tc>
        <w:tc>
          <w:tcPr>
            <w:tcW w:w="0" w:type="auto"/>
            <w:tcBorders>
              <w:top w:val="nil"/>
            </w:tcBorders>
            <w:noWrap/>
            <w:hideMark/>
          </w:tcPr>
          <w:p w14:paraId="10EB3166"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4723</w:t>
            </w:r>
          </w:p>
        </w:tc>
        <w:tc>
          <w:tcPr>
            <w:tcW w:w="0" w:type="auto"/>
            <w:tcBorders>
              <w:top w:val="nil"/>
            </w:tcBorders>
            <w:noWrap/>
            <w:hideMark/>
          </w:tcPr>
          <w:p w14:paraId="29D2C8C8"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705</w:t>
            </w:r>
          </w:p>
        </w:tc>
        <w:tc>
          <w:tcPr>
            <w:tcW w:w="0" w:type="auto"/>
            <w:tcBorders>
              <w:top w:val="nil"/>
            </w:tcBorders>
            <w:noWrap/>
            <w:hideMark/>
          </w:tcPr>
          <w:p w14:paraId="166D7960"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14.93</w:t>
            </w:r>
          </w:p>
        </w:tc>
        <w:tc>
          <w:tcPr>
            <w:tcW w:w="0" w:type="auto"/>
            <w:tcBorders>
              <w:top w:val="nil"/>
            </w:tcBorders>
            <w:noWrap/>
            <w:hideMark/>
          </w:tcPr>
          <w:p w14:paraId="00D60DC1"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1244</w:t>
            </w:r>
          </w:p>
        </w:tc>
        <w:tc>
          <w:tcPr>
            <w:tcW w:w="0" w:type="auto"/>
            <w:tcBorders>
              <w:top w:val="nil"/>
            </w:tcBorders>
            <w:noWrap/>
            <w:hideMark/>
          </w:tcPr>
          <w:p w14:paraId="2EDA493B"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243</w:t>
            </w:r>
          </w:p>
        </w:tc>
        <w:tc>
          <w:tcPr>
            <w:tcW w:w="0" w:type="auto"/>
            <w:tcBorders>
              <w:top w:val="nil"/>
            </w:tcBorders>
            <w:noWrap/>
            <w:hideMark/>
          </w:tcPr>
          <w:p w14:paraId="0738250B"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19.53</w:t>
            </w:r>
          </w:p>
        </w:tc>
      </w:tr>
      <w:tr w:rsidR="008A4F90" w:rsidRPr="00ED62DC" w14:paraId="42FD6370" w14:textId="77777777" w:rsidTr="000D1C12">
        <w:trPr>
          <w:trHeight w:val="199"/>
          <w:jc w:val="center"/>
        </w:trPr>
        <w:tc>
          <w:tcPr>
            <w:tcW w:w="0" w:type="auto"/>
            <w:vMerge w:val="restart"/>
            <w:tcBorders>
              <w:top w:val="nil"/>
              <w:bottom w:val="single" w:sz="4" w:space="0" w:color="auto"/>
            </w:tcBorders>
            <w:noWrap/>
            <w:vAlign w:val="center"/>
            <w:hideMark/>
          </w:tcPr>
          <w:p w14:paraId="4BB8F121" w14:textId="16C37FE9" w:rsidR="008A4F90" w:rsidRPr="00ED62DC" w:rsidRDefault="008A4F90" w:rsidP="008A4F90">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2025-26</w:t>
            </w:r>
          </w:p>
        </w:tc>
        <w:tc>
          <w:tcPr>
            <w:tcW w:w="0" w:type="auto"/>
            <w:tcBorders>
              <w:top w:val="nil"/>
            </w:tcBorders>
            <w:noWrap/>
            <w:hideMark/>
          </w:tcPr>
          <w:p w14:paraId="11076A8D" w14:textId="3A288B3C"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Qty (Tons)</w:t>
            </w:r>
          </w:p>
        </w:tc>
        <w:tc>
          <w:tcPr>
            <w:tcW w:w="0" w:type="auto"/>
            <w:tcBorders>
              <w:top w:val="nil"/>
            </w:tcBorders>
            <w:noWrap/>
            <w:hideMark/>
          </w:tcPr>
          <w:p w14:paraId="648F6010"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1734562</w:t>
            </w:r>
          </w:p>
        </w:tc>
        <w:tc>
          <w:tcPr>
            <w:tcW w:w="0" w:type="auto"/>
            <w:tcBorders>
              <w:top w:val="nil"/>
            </w:tcBorders>
            <w:noWrap/>
            <w:hideMark/>
          </w:tcPr>
          <w:p w14:paraId="6B653288"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281407</w:t>
            </w:r>
          </w:p>
        </w:tc>
        <w:tc>
          <w:tcPr>
            <w:tcW w:w="0" w:type="auto"/>
            <w:tcBorders>
              <w:top w:val="nil"/>
            </w:tcBorders>
            <w:noWrap/>
            <w:hideMark/>
          </w:tcPr>
          <w:p w14:paraId="24507AC0"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16.22</w:t>
            </w:r>
          </w:p>
        </w:tc>
        <w:tc>
          <w:tcPr>
            <w:tcW w:w="0" w:type="auto"/>
            <w:tcBorders>
              <w:top w:val="nil"/>
            </w:tcBorders>
            <w:noWrap/>
            <w:hideMark/>
          </w:tcPr>
          <w:p w14:paraId="3E81EE98"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493924</w:t>
            </w:r>
          </w:p>
        </w:tc>
        <w:tc>
          <w:tcPr>
            <w:tcW w:w="0" w:type="auto"/>
            <w:tcBorders>
              <w:top w:val="nil"/>
            </w:tcBorders>
            <w:noWrap/>
            <w:hideMark/>
          </w:tcPr>
          <w:p w14:paraId="19AB04B4"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100543</w:t>
            </w:r>
          </w:p>
        </w:tc>
        <w:tc>
          <w:tcPr>
            <w:tcW w:w="0" w:type="auto"/>
            <w:tcBorders>
              <w:top w:val="nil"/>
            </w:tcBorders>
            <w:noWrap/>
            <w:hideMark/>
          </w:tcPr>
          <w:p w14:paraId="50E02BCE"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20.36</w:t>
            </w:r>
          </w:p>
        </w:tc>
      </w:tr>
      <w:tr w:rsidR="008A4F90" w:rsidRPr="00ED62DC" w14:paraId="58DF22A8" w14:textId="77777777" w:rsidTr="000D1C12">
        <w:trPr>
          <w:trHeight w:val="225"/>
          <w:jc w:val="center"/>
        </w:trPr>
        <w:tc>
          <w:tcPr>
            <w:tcW w:w="0" w:type="auto"/>
            <w:vMerge/>
            <w:tcBorders>
              <w:top w:val="nil"/>
              <w:bottom w:val="single" w:sz="4" w:space="0" w:color="auto"/>
            </w:tcBorders>
            <w:vAlign w:val="center"/>
            <w:hideMark/>
          </w:tcPr>
          <w:p w14:paraId="0DDCA538" w14:textId="77777777" w:rsidR="008A4F90" w:rsidRPr="00ED62DC" w:rsidRDefault="008A4F90" w:rsidP="008A4F90">
            <w:pPr>
              <w:spacing w:after="0" w:line="240" w:lineRule="auto"/>
              <w:rPr>
                <w:rFonts w:ascii="Times New Roman" w:eastAsia="Times New Roman" w:hAnsi="Times New Roman" w:cs="Times New Roman"/>
                <w:color w:val="000000" w:themeColor="text1"/>
                <w:kern w:val="0"/>
                <w:sz w:val="20"/>
                <w:szCs w:val="20"/>
                <w:lang w:eastAsia="en-IN"/>
                <w14:ligatures w14:val="none"/>
              </w:rPr>
            </w:pPr>
          </w:p>
        </w:tc>
        <w:tc>
          <w:tcPr>
            <w:tcW w:w="0" w:type="auto"/>
            <w:tcBorders>
              <w:top w:val="nil"/>
            </w:tcBorders>
            <w:noWrap/>
            <w:hideMark/>
          </w:tcPr>
          <w:p w14:paraId="64BB0D8A" w14:textId="7C6CE8A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Value (Lakhs)</w:t>
            </w:r>
          </w:p>
        </w:tc>
        <w:tc>
          <w:tcPr>
            <w:tcW w:w="0" w:type="auto"/>
            <w:tcBorders>
              <w:top w:val="nil"/>
            </w:tcBorders>
            <w:noWrap/>
            <w:hideMark/>
          </w:tcPr>
          <w:p w14:paraId="770349CF"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3914009</w:t>
            </w:r>
          </w:p>
        </w:tc>
        <w:tc>
          <w:tcPr>
            <w:tcW w:w="0" w:type="auto"/>
            <w:tcBorders>
              <w:top w:val="nil"/>
            </w:tcBorders>
            <w:noWrap/>
            <w:hideMark/>
          </w:tcPr>
          <w:p w14:paraId="543392DE"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700850</w:t>
            </w:r>
          </w:p>
        </w:tc>
        <w:tc>
          <w:tcPr>
            <w:tcW w:w="0" w:type="auto"/>
            <w:tcBorders>
              <w:top w:val="nil"/>
            </w:tcBorders>
            <w:noWrap/>
            <w:hideMark/>
          </w:tcPr>
          <w:p w14:paraId="5996347A"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17.91</w:t>
            </w:r>
          </w:p>
        </w:tc>
        <w:tc>
          <w:tcPr>
            <w:tcW w:w="0" w:type="auto"/>
            <w:tcBorders>
              <w:top w:val="nil"/>
            </w:tcBorders>
            <w:noWrap/>
            <w:hideMark/>
          </w:tcPr>
          <w:p w14:paraId="72680063"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889445</w:t>
            </w:r>
          </w:p>
        </w:tc>
        <w:tc>
          <w:tcPr>
            <w:tcW w:w="0" w:type="auto"/>
            <w:tcBorders>
              <w:top w:val="nil"/>
            </w:tcBorders>
            <w:noWrap/>
            <w:hideMark/>
          </w:tcPr>
          <w:p w14:paraId="1AE3CE87"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187019</w:t>
            </w:r>
          </w:p>
        </w:tc>
        <w:tc>
          <w:tcPr>
            <w:tcW w:w="0" w:type="auto"/>
            <w:tcBorders>
              <w:top w:val="nil"/>
            </w:tcBorders>
            <w:noWrap/>
            <w:hideMark/>
          </w:tcPr>
          <w:p w14:paraId="3076CE8F"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21.03</w:t>
            </w:r>
          </w:p>
        </w:tc>
      </w:tr>
      <w:tr w:rsidR="008A4F90" w:rsidRPr="00ED62DC" w14:paraId="14068741" w14:textId="77777777" w:rsidTr="000D1C12">
        <w:trPr>
          <w:trHeight w:val="233"/>
          <w:jc w:val="center"/>
        </w:trPr>
        <w:tc>
          <w:tcPr>
            <w:tcW w:w="0" w:type="auto"/>
            <w:vMerge/>
            <w:tcBorders>
              <w:top w:val="nil"/>
              <w:bottom w:val="single" w:sz="4" w:space="0" w:color="auto"/>
            </w:tcBorders>
            <w:vAlign w:val="center"/>
            <w:hideMark/>
          </w:tcPr>
          <w:p w14:paraId="034177A7" w14:textId="77777777" w:rsidR="008A4F90" w:rsidRPr="00ED62DC" w:rsidRDefault="008A4F90" w:rsidP="008A4F90">
            <w:pPr>
              <w:spacing w:after="0" w:line="240" w:lineRule="auto"/>
              <w:rPr>
                <w:rFonts w:ascii="Times New Roman" w:eastAsia="Times New Roman" w:hAnsi="Times New Roman" w:cs="Times New Roman"/>
                <w:color w:val="000000" w:themeColor="text1"/>
                <w:kern w:val="0"/>
                <w:sz w:val="20"/>
                <w:szCs w:val="20"/>
                <w:lang w:eastAsia="en-IN"/>
                <w14:ligatures w14:val="none"/>
              </w:rPr>
            </w:pPr>
          </w:p>
        </w:tc>
        <w:tc>
          <w:tcPr>
            <w:tcW w:w="0" w:type="auto"/>
            <w:tcBorders>
              <w:top w:val="nil"/>
              <w:bottom w:val="single" w:sz="4" w:space="0" w:color="auto"/>
            </w:tcBorders>
            <w:noWrap/>
            <w:hideMark/>
          </w:tcPr>
          <w:p w14:paraId="0197F55F" w14:textId="6183204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Value (</w:t>
            </w:r>
            <w:proofErr w:type="spellStart"/>
            <w:r w:rsidRPr="00ED62DC">
              <w:rPr>
                <w:rFonts w:ascii="Times New Roman" w:eastAsia="Times New Roman" w:hAnsi="Times New Roman" w:cs="Times New Roman"/>
                <w:color w:val="000000" w:themeColor="text1"/>
                <w:kern w:val="0"/>
                <w:sz w:val="20"/>
                <w:szCs w:val="20"/>
                <w:lang w:eastAsia="en-IN"/>
                <w14:ligatures w14:val="none"/>
              </w:rPr>
              <w:t>Mln</w:t>
            </w:r>
            <w:proofErr w:type="spellEnd"/>
            <w:r w:rsidR="00846D8F" w:rsidRPr="00ED62DC">
              <w:rPr>
                <w:rFonts w:ascii="Times New Roman" w:eastAsia="Times New Roman" w:hAnsi="Times New Roman" w:cs="Times New Roman"/>
                <w:color w:val="000000" w:themeColor="text1"/>
                <w:kern w:val="0"/>
                <w:sz w:val="20"/>
                <w:szCs w:val="20"/>
                <w:lang w:eastAsia="en-IN"/>
                <w14:ligatures w14:val="none"/>
              </w:rPr>
              <w:t xml:space="preserve"> </w:t>
            </w:r>
            <w:r w:rsidRPr="00ED62DC">
              <w:rPr>
                <w:rFonts w:ascii="Times New Roman" w:eastAsia="Times New Roman" w:hAnsi="Times New Roman" w:cs="Times New Roman"/>
                <w:color w:val="000000" w:themeColor="text1"/>
                <w:kern w:val="0"/>
                <w:sz w:val="20"/>
                <w:szCs w:val="20"/>
                <w:lang w:eastAsia="en-IN"/>
                <w14:ligatures w14:val="none"/>
              </w:rPr>
              <w:t>$)</w:t>
            </w:r>
          </w:p>
        </w:tc>
        <w:tc>
          <w:tcPr>
            <w:tcW w:w="0" w:type="auto"/>
            <w:tcBorders>
              <w:top w:val="nil"/>
              <w:bottom w:val="single" w:sz="4" w:space="0" w:color="auto"/>
            </w:tcBorders>
            <w:noWrap/>
            <w:hideMark/>
          </w:tcPr>
          <w:p w14:paraId="3DACFDBA"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4431</w:t>
            </w:r>
          </w:p>
        </w:tc>
        <w:tc>
          <w:tcPr>
            <w:tcW w:w="0" w:type="auto"/>
            <w:tcBorders>
              <w:top w:val="nil"/>
              <w:bottom w:val="single" w:sz="4" w:space="0" w:color="auto"/>
            </w:tcBorders>
            <w:noWrap/>
            <w:hideMark/>
          </w:tcPr>
          <w:p w14:paraId="308EAC98"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793</w:t>
            </w:r>
          </w:p>
        </w:tc>
        <w:tc>
          <w:tcPr>
            <w:tcW w:w="0" w:type="auto"/>
            <w:tcBorders>
              <w:top w:val="nil"/>
              <w:bottom w:val="single" w:sz="4" w:space="0" w:color="auto"/>
            </w:tcBorders>
            <w:noWrap/>
            <w:hideMark/>
          </w:tcPr>
          <w:p w14:paraId="6C801CC1"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17.90</w:t>
            </w:r>
          </w:p>
        </w:tc>
        <w:tc>
          <w:tcPr>
            <w:tcW w:w="0" w:type="auto"/>
            <w:tcBorders>
              <w:top w:val="nil"/>
              <w:bottom w:val="single" w:sz="4" w:space="0" w:color="auto"/>
            </w:tcBorders>
            <w:noWrap/>
            <w:hideMark/>
          </w:tcPr>
          <w:p w14:paraId="09DC1AA4"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1009</w:t>
            </w:r>
          </w:p>
        </w:tc>
        <w:tc>
          <w:tcPr>
            <w:tcW w:w="0" w:type="auto"/>
            <w:tcBorders>
              <w:top w:val="nil"/>
              <w:bottom w:val="single" w:sz="4" w:space="0" w:color="auto"/>
            </w:tcBorders>
            <w:noWrap/>
            <w:hideMark/>
          </w:tcPr>
          <w:p w14:paraId="5BF6C93D"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212</w:t>
            </w:r>
          </w:p>
        </w:tc>
        <w:tc>
          <w:tcPr>
            <w:tcW w:w="0" w:type="auto"/>
            <w:tcBorders>
              <w:top w:val="nil"/>
              <w:bottom w:val="single" w:sz="4" w:space="0" w:color="auto"/>
            </w:tcBorders>
            <w:noWrap/>
            <w:hideMark/>
          </w:tcPr>
          <w:p w14:paraId="259303D3" w14:textId="77777777" w:rsidR="008A4F90" w:rsidRPr="00ED62DC" w:rsidRDefault="008A4F90" w:rsidP="008F3B51">
            <w:pPr>
              <w:spacing w:after="0" w:line="36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20.97</w:t>
            </w:r>
          </w:p>
        </w:tc>
      </w:tr>
    </w:tbl>
    <w:p w14:paraId="16435A98" w14:textId="77777777" w:rsidR="000D1C12" w:rsidRPr="00ED62DC" w:rsidRDefault="000D1C12" w:rsidP="003E7C41">
      <w:pPr>
        <w:spacing w:after="0" w:line="240" w:lineRule="auto"/>
        <w:jc w:val="both"/>
        <w:rPr>
          <w:rFonts w:ascii="Times New Roman" w:hAnsi="Times New Roman" w:cs="Times New Roman"/>
          <w:color w:val="000000" w:themeColor="text1"/>
          <w:sz w:val="20"/>
          <w:szCs w:val="20"/>
        </w:rPr>
      </w:pPr>
    </w:p>
    <w:p w14:paraId="71C26A1A" w14:textId="77777777" w:rsidR="00355D49" w:rsidRPr="00ED62DC" w:rsidRDefault="00355D49" w:rsidP="00355D49">
      <w:pPr>
        <w:spacing w:after="0" w:line="276" w:lineRule="auto"/>
        <w:jc w:val="both"/>
        <w:rPr>
          <w:rFonts w:ascii="Times New Roman" w:hAnsi="Times New Roman" w:cs="Times New Roman"/>
          <w:b/>
          <w:bCs/>
          <w:color w:val="000000" w:themeColor="text1"/>
          <w:sz w:val="20"/>
          <w:szCs w:val="20"/>
        </w:rPr>
        <w:sectPr w:rsidR="00355D49" w:rsidRPr="00ED62DC" w:rsidSect="005B27E2">
          <w:type w:val="continuous"/>
          <w:pgSz w:w="11906" w:h="16838"/>
          <w:pgMar w:top="1440" w:right="1440" w:bottom="1440" w:left="1440" w:header="708" w:footer="708" w:gutter="0"/>
          <w:cols w:space="708"/>
          <w:docGrid w:linePitch="360"/>
        </w:sectPr>
      </w:pPr>
    </w:p>
    <w:p w14:paraId="706F962F" w14:textId="057C8D3F" w:rsidR="003E7C41" w:rsidRPr="00ED62DC" w:rsidRDefault="003E7C41" w:rsidP="00777207">
      <w:pPr>
        <w:spacing w:after="0" w:line="276" w:lineRule="auto"/>
        <w:ind w:left="142" w:right="-284"/>
        <w:jc w:val="both"/>
        <w:rPr>
          <w:rFonts w:ascii="Times New Roman" w:hAnsi="Times New Roman" w:cs="Times New Roman"/>
          <w:color w:val="000000" w:themeColor="text1"/>
          <w:sz w:val="20"/>
          <w:szCs w:val="20"/>
        </w:rPr>
      </w:pPr>
      <w:r w:rsidRPr="00ED62DC">
        <w:rPr>
          <w:rFonts w:ascii="Times New Roman" w:hAnsi="Times New Roman" w:cs="Times New Roman"/>
          <w:b/>
          <w:bCs/>
          <w:color w:val="000000" w:themeColor="text1"/>
          <w:sz w:val="20"/>
          <w:szCs w:val="20"/>
        </w:rPr>
        <w:lastRenderedPageBreak/>
        <w:t>Source:</w:t>
      </w:r>
      <w:r w:rsidRPr="00ED62DC">
        <w:rPr>
          <w:rFonts w:ascii="Times New Roman" w:hAnsi="Times New Roman" w:cs="Times New Roman"/>
          <w:color w:val="000000" w:themeColor="text1"/>
          <w:sz w:val="20"/>
          <w:szCs w:val="20"/>
        </w:rPr>
        <w:t xml:space="preserve"> </w:t>
      </w:r>
      <w:r w:rsidR="00C17121" w:rsidRPr="00ED62DC">
        <w:rPr>
          <w:rFonts w:ascii="Times New Roman" w:hAnsi="Times New Roman" w:cs="Times New Roman"/>
          <w:color w:val="000000" w:themeColor="text1"/>
          <w:sz w:val="20"/>
          <w:szCs w:val="20"/>
        </w:rPr>
        <w:t xml:space="preserve">Authors estimation based on data compiled from </w:t>
      </w:r>
      <w:r w:rsidRPr="00ED62DC">
        <w:rPr>
          <w:rFonts w:ascii="Times New Roman" w:hAnsi="Times New Roman" w:cs="Times New Roman"/>
          <w:color w:val="000000" w:themeColor="text1"/>
          <w:sz w:val="20"/>
          <w:szCs w:val="20"/>
        </w:rPr>
        <w:t>Spice Board India, 2026</w:t>
      </w:r>
    </w:p>
    <w:p w14:paraId="26575DBE" w14:textId="77777777" w:rsidR="00355D49" w:rsidRPr="00ED62DC" w:rsidRDefault="00355D49" w:rsidP="00777207">
      <w:pPr>
        <w:spacing w:after="0" w:line="276" w:lineRule="auto"/>
        <w:ind w:left="142" w:right="-284"/>
        <w:jc w:val="both"/>
        <w:rPr>
          <w:rFonts w:ascii="Times New Roman" w:hAnsi="Times New Roman" w:cs="Times New Roman"/>
          <w:color w:val="000000" w:themeColor="text1"/>
          <w:sz w:val="10"/>
          <w:szCs w:val="10"/>
        </w:rPr>
      </w:pPr>
    </w:p>
    <w:p w14:paraId="56419D5F" w14:textId="77777777" w:rsidR="00C17121" w:rsidRPr="00ED62DC" w:rsidRDefault="00C17121" w:rsidP="00777207">
      <w:pPr>
        <w:spacing w:after="0" w:line="276" w:lineRule="auto"/>
        <w:ind w:left="142" w:right="-284"/>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hAnsi="Times New Roman" w:cs="Times New Roman"/>
          <w:b/>
          <w:bCs/>
          <w:color w:val="000000" w:themeColor="text1"/>
          <w:sz w:val="20"/>
          <w:szCs w:val="20"/>
        </w:rPr>
        <w:t>Note:</w:t>
      </w:r>
      <w:r w:rsidRPr="00ED62DC">
        <w:rPr>
          <w:rFonts w:ascii="Times New Roman" w:hAnsi="Times New Roman" w:cs="Times New Roman"/>
          <w:color w:val="000000" w:themeColor="text1"/>
          <w:sz w:val="20"/>
          <w:szCs w:val="20"/>
        </w:rPr>
        <w:t xml:space="preserve"> GCC includes </w:t>
      </w:r>
      <w:r w:rsidRPr="00ED62DC">
        <w:rPr>
          <w:rFonts w:ascii="Times New Roman" w:eastAsia="Times New Roman" w:hAnsi="Times New Roman" w:cs="Times New Roman"/>
          <w:color w:val="000000" w:themeColor="text1"/>
          <w:kern w:val="0"/>
          <w:sz w:val="20"/>
          <w:szCs w:val="20"/>
          <w:lang w:eastAsia="en-IN"/>
          <w14:ligatures w14:val="none"/>
        </w:rPr>
        <w:t xml:space="preserve">U.A. E., Saudi Arabia, Oman, Kuwait, Qatar, Iraq, </w:t>
      </w:r>
      <w:proofErr w:type="spellStart"/>
      <w:r w:rsidRPr="00ED62DC">
        <w:rPr>
          <w:rFonts w:ascii="Times New Roman" w:eastAsia="Times New Roman" w:hAnsi="Times New Roman" w:cs="Times New Roman"/>
          <w:color w:val="000000" w:themeColor="text1"/>
          <w:kern w:val="0"/>
          <w:sz w:val="20"/>
          <w:szCs w:val="20"/>
          <w:lang w:eastAsia="en-IN"/>
          <w14:ligatures w14:val="none"/>
        </w:rPr>
        <w:t>Baharain</w:t>
      </w:r>
      <w:proofErr w:type="spellEnd"/>
      <w:r w:rsidRPr="00ED62DC">
        <w:rPr>
          <w:rFonts w:ascii="Times New Roman" w:eastAsia="Times New Roman" w:hAnsi="Times New Roman" w:cs="Times New Roman"/>
          <w:color w:val="000000" w:themeColor="text1"/>
          <w:kern w:val="0"/>
          <w:sz w:val="20"/>
          <w:szCs w:val="20"/>
          <w:lang w:eastAsia="en-IN"/>
          <w14:ligatures w14:val="none"/>
        </w:rPr>
        <w:t xml:space="preserve"> and Yemen</w:t>
      </w:r>
    </w:p>
    <w:p w14:paraId="16FA11D7" w14:textId="77777777" w:rsidR="00355D49" w:rsidRPr="00ED62DC" w:rsidRDefault="00355D49" w:rsidP="00777207">
      <w:pPr>
        <w:spacing w:after="0" w:line="276" w:lineRule="auto"/>
        <w:ind w:left="142" w:right="-284"/>
        <w:jc w:val="both"/>
        <w:rPr>
          <w:rFonts w:ascii="Times New Roman" w:eastAsia="Times New Roman" w:hAnsi="Times New Roman" w:cs="Times New Roman"/>
          <w:color w:val="000000" w:themeColor="text1"/>
          <w:kern w:val="0"/>
          <w:sz w:val="10"/>
          <w:szCs w:val="10"/>
          <w:lang w:eastAsia="en-IN"/>
          <w14:ligatures w14:val="none"/>
        </w:rPr>
      </w:pPr>
    </w:p>
    <w:p w14:paraId="2E3F2D70" w14:textId="77777777" w:rsidR="00C17121" w:rsidRPr="00ED62DC" w:rsidRDefault="00C17121" w:rsidP="00777207">
      <w:pPr>
        <w:spacing w:after="0" w:line="276" w:lineRule="auto"/>
        <w:ind w:left="142" w:right="-284"/>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Sources:</w:t>
      </w:r>
      <w:r w:rsidRPr="00ED62DC">
        <w:rPr>
          <w:rFonts w:ascii="Times New Roman" w:eastAsia="Times New Roman" w:hAnsi="Times New Roman" w:cs="Times New Roman"/>
          <w:color w:val="000000" w:themeColor="text1"/>
          <w:kern w:val="0"/>
          <w:sz w:val="20"/>
          <w:szCs w:val="20"/>
          <w:lang w:eastAsia="en-IN"/>
          <w14:ligatures w14:val="none"/>
        </w:rPr>
        <w:t xml:space="preserve"> Spice Board India (2026)</w:t>
      </w:r>
    </w:p>
    <w:p w14:paraId="2EEC0015" w14:textId="77777777" w:rsidR="00355D49" w:rsidRPr="00ED62DC" w:rsidRDefault="00355D49" w:rsidP="00777207">
      <w:pPr>
        <w:spacing w:after="0" w:line="276" w:lineRule="auto"/>
        <w:ind w:left="142" w:right="-284"/>
        <w:jc w:val="both"/>
        <w:rPr>
          <w:rFonts w:ascii="Times New Roman" w:hAnsi="Times New Roman" w:cs="Times New Roman"/>
          <w:color w:val="000000" w:themeColor="text1"/>
          <w:sz w:val="10"/>
          <w:szCs w:val="10"/>
        </w:rPr>
      </w:pPr>
    </w:p>
    <w:p w14:paraId="733E5C08" w14:textId="2CD0F0C8" w:rsidR="00D22122" w:rsidRPr="00ED62DC" w:rsidRDefault="00AE22E6" w:rsidP="00BC29BB">
      <w:pPr>
        <w:spacing w:after="0" w:line="360" w:lineRule="auto"/>
        <w:ind w:left="142" w:right="-284"/>
        <w:jc w:val="both"/>
        <w:rPr>
          <w:rFonts w:ascii="Times New Roman" w:hAnsi="Times New Roman" w:cs="Times New Roman"/>
          <w:color w:val="000000" w:themeColor="text1"/>
          <w:sz w:val="20"/>
          <w:szCs w:val="20"/>
        </w:rPr>
      </w:pPr>
      <w:hyperlink r:id="rId18" w:history="1">
        <w:r w:rsidR="00040FEE" w:rsidRPr="00ED62DC">
          <w:rPr>
            <w:rFonts w:ascii="Times New Roman" w:hAnsi="Times New Roman" w:cs="Times New Roman"/>
            <w:color w:val="000000" w:themeColor="text1"/>
            <w:sz w:val="20"/>
            <w:szCs w:val="20"/>
          </w:rPr>
          <w:t>India</w:t>
        </w:r>
      </w:hyperlink>
      <w:r w:rsidR="00040FEE" w:rsidRPr="00ED62DC">
        <w:rPr>
          <w:rFonts w:ascii="Times New Roman" w:hAnsi="Times New Roman" w:cs="Times New Roman"/>
          <w:color w:val="000000" w:themeColor="text1"/>
          <w:sz w:val="20"/>
          <w:szCs w:val="20"/>
        </w:rPr>
        <w:t xml:space="preserve">’s spice industry, encountered a challenging year in FY26 as overseas shipments fell both in value and volume. While some niche products defied the trend, the sector overall grappled with subdued global </w:t>
      </w:r>
      <w:r w:rsidR="00040FEE" w:rsidRPr="00ED62DC">
        <w:rPr>
          <w:rFonts w:ascii="Times New Roman" w:hAnsi="Times New Roman" w:cs="Times New Roman"/>
          <w:color w:val="000000" w:themeColor="text1"/>
          <w:sz w:val="20"/>
          <w:szCs w:val="20"/>
        </w:rPr>
        <w:lastRenderedPageBreak/>
        <w:t xml:space="preserve">demand, particularly for its two flagship spices chilli and cumin (Economic Times Agriculture, June 04, 2026). </w:t>
      </w:r>
      <w:r w:rsidR="00D22122" w:rsidRPr="00ED62DC">
        <w:rPr>
          <w:rFonts w:ascii="Times New Roman" w:hAnsi="Times New Roman" w:cs="Times New Roman"/>
          <w:color w:val="000000" w:themeColor="text1"/>
          <w:sz w:val="20"/>
          <w:szCs w:val="20"/>
        </w:rPr>
        <w:t>Table 2 presents the changes in India’s spice exports during 2025-26 compared with 2024-25, along with changes during February-March 2026 and April-May 2026 relative to the corresponding periods of the previous years. Overall spice exports declined by 3.60% in quantity and 2.14% in INR value during 2025-26. However, the contraction became considerably high during February-March 2026, when export quantity and value declined by 37.80% and 20.82%, respectively. The substantial decline during these two months coincided with heightened geopolitical tensions associated with the Iran conflict and increasing disruption risks around the Strait of Hormuz, indicating a marked weakening of export flows towards the end of 2025-26.</w:t>
      </w:r>
    </w:p>
    <w:p w14:paraId="3A5DA0AF" w14:textId="77777777" w:rsidR="00D22122" w:rsidRPr="00ED62DC" w:rsidRDefault="00D22122" w:rsidP="00BC29BB">
      <w:pPr>
        <w:spacing w:after="0" w:line="360" w:lineRule="auto"/>
        <w:ind w:left="142" w:right="-284"/>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 xml:space="preserve">The commodity-wise trends indicate considerable variation across spices. Chilli exports declined by 4.45% in quantity and 8.85% in value during the full year, but the decline accelerated to 52.04% and 36.13%, respectively, during February-March. Similarly, ginger, despite registering annual growth of 11.34% in quantity and 18.69% in value, declined sharply by 41.54% and 32.09% during February-March. Cumin, one of India’s major seed spice exports, recorded an annual decline of 14.39% in quantity and 25.37% in value, followed by further declines of 8.86% and 8.42%, respectively, during February-March. Garlic and fenugreek also recorded substantial declines during this period. In contrast, small cardamom showed strong resilience, </w:t>
      </w:r>
      <w:r w:rsidRPr="00ED62DC">
        <w:rPr>
          <w:rFonts w:ascii="Times New Roman" w:hAnsi="Times New Roman" w:cs="Times New Roman"/>
          <w:color w:val="000000" w:themeColor="text1"/>
          <w:sz w:val="20"/>
          <w:szCs w:val="20"/>
        </w:rPr>
        <w:lastRenderedPageBreak/>
        <w:t>with exports increasing by 93.10% in quantity and 61.25% in value.</w:t>
      </w:r>
    </w:p>
    <w:p w14:paraId="34EA2421" w14:textId="77777777" w:rsidR="00D22122" w:rsidRPr="00ED62DC" w:rsidRDefault="00D22122" w:rsidP="00BC29BB">
      <w:pPr>
        <w:spacing w:after="0" w:line="360" w:lineRule="auto"/>
        <w:ind w:left="142" w:right="-284"/>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The decreasing trend in export flows persisted into the April-May 2026 also. Total spice export quantity declined by 26.75%, although export value in term of INR increased by 4.08%, suggesting that higher unit realizations due to weakening rupee and changes in export composition partly offset the decline in shipment volumes. Major spices including ginger, chilli, fenugreek, coriander and cumin recorded quantity declines of 56.22%, 35.44%, 32.86%, 26.14% and 21.02%, respectively. Cumin also registered a 23.51% decline in value, reinforcing the continued weakness in this major seed spice export. In contrast, small cardamom continued to perform strongly, increasing by 49.87% in quantity and 46.25% in value, while spices oils and oleoresins and mint products recorded notable growth in both quantity and value.</w:t>
      </w:r>
    </w:p>
    <w:p w14:paraId="2285B5AA" w14:textId="77777777" w:rsidR="00777207" w:rsidRPr="00ED62DC" w:rsidRDefault="00777207" w:rsidP="00BC29BB">
      <w:pPr>
        <w:spacing w:after="0" w:line="360" w:lineRule="auto"/>
        <w:ind w:left="142" w:right="-284"/>
        <w:jc w:val="both"/>
        <w:rPr>
          <w:rFonts w:ascii="Times New Roman" w:hAnsi="Times New Roman" w:cs="Times New Roman"/>
          <w:color w:val="000000" w:themeColor="text1"/>
          <w:sz w:val="10"/>
          <w:szCs w:val="10"/>
        </w:rPr>
      </w:pPr>
    </w:p>
    <w:p w14:paraId="1578D591" w14:textId="0645100F" w:rsidR="00D22122" w:rsidRPr="00ED62DC" w:rsidRDefault="00D22122" w:rsidP="00BC29BB">
      <w:pPr>
        <w:spacing w:after="0" w:line="360" w:lineRule="auto"/>
        <w:ind w:left="142" w:right="-284"/>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 xml:space="preserve">The three-period comparison indicates a substantial weakening of India’s spice export volumes during the Iran conflict period. The decline in quantity intensified from 3.60% for the full year to 37.80% during February-March and remained high at 26.75% during April-May 2026. The pronounced decline in major spices, particularly chilli, cumin, ginger and fenugreek, highlights their vulnerability to disruptions in international trade routes and geopolitical uncertainty. Since export performance is influenced by international prices, demand conditions, freight costs, insurance premium, exchange rates etc. </w:t>
      </w:r>
      <w:r w:rsidR="00DD6EBC" w:rsidRPr="00ED62DC">
        <w:rPr>
          <w:rFonts w:ascii="Times New Roman" w:hAnsi="Times New Roman" w:cs="Times New Roman"/>
          <w:color w:val="000000" w:themeColor="text1"/>
          <w:sz w:val="20"/>
          <w:szCs w:val="20"/>
        </w:rPr>
        <w:t>requires a monthly econometric assessment, which is undertaken in the subsequent analysis."</w:t>
      </w:r>
    </w:p>
    <w:p w14:paraId="4A6D5A16" w14:textId="77777777" w:rsidR="00355D49" w:rsidRPr="00ED62DC" w:rsidRDefault="00355D49" w:rsidP="00D22122">
      <w:pPr>
        <w:spacing w:before="240" w:after="0" w:line="240" w:lineRule="auto"/>
        <w:jc w:val="both"/>
        <w:rPr>
          <w:rFonts w:ascii="Times New Roman" w:hAnsi="Times New Roman" w:cs="Times New Roman"/>
          <w:b/>
          <w:bCs/>
          <w:color w:val="000000" w:themeColor="text1"/>
          <w:szCs w:val="24"/>
        </w:rPr>
        <w:sectPr w:rsidR="00355D49" w:rsidRPr="00ED62DC" w:rsidSect="0044481E">
          <w:type w:val="continuous"/>
          <w:pgSz w:w="11906" w:h="16838"/>
          <w:pgMar w:top="1440" w:right="1440" w:bottom="1440" w:left="1418" w:header="1134" w:footer="708" w:gutter="0"/>
          <w:cols w:num="2" w:space="544"/>
          <w:docGrid w:linePitch="360"/>
        </w:sectPr>
      </w:pPr>
    </w:p>
    <w:p w14:paraId="6F21FC16" w14:textId="77777777" w:rsidR="008F3B51" w:rsidRPr="00ED62DC" w:rsidRDefault="008F3B51" w:rsidP="0044481E">
      <w:pPr>
        <w:spacing w:after="0" w:line="240" w:lineRule="auto"/>
        <w:jc w:val="both"/>
        <w:rPr>
          <w:rFonts w:ascii="Times New Roman" w:hAnsi="Times New Roman" w:cs="Times New Roman"/>
          <w:b/>
          <w:bCs/>
          <w:color w:val="000000" w:themeColor="text1"/>
          <w:sz w:val="20"/>
          <w:szCs w:val="20"/>
        </w:rPr>
      </w:pPr>
    </w:p>
    <w:p w14:paraId="38140723" w14:textId="77777777" w:rsidR="008F3B51" w:rsidRPr="00ED62DC" w:rsidRDefault="008F3B51" w:rsidP="0044481E">
      <w:pPr>
        <w:spacing w:after="0" w:line="240" w:lineRule="auto"/>
        <w:jc w:val="both"/>
        <w:rPr>
          <w:rFonts w:ascii="Times New Roman" w:hAnsi="Times New Roman" w:cs="Times New Roman"/>
          <w:b/>
          <w:bCs/>
          <w:color w:val="000000" w:themeColor="text1"/>
          <w:sz w:val="20"/>
          <w:szCs w:val="20"/>
        </w:rPr>
      </w:pPr>
    </w:p>
    <w:p w14:paraId="23C68964" w14:textId="77777777" w:rsidR="008F3B51" w:rsidRPr="00ED62DC" w:rsidRDefault="008F3B51" w:rsidP="0044481E">
      <w:pPr>
        <w:spacing w:after="0" w:line="240" w:lineRule="auto"/>
        <w:jc w:val="both"/>
        <w:rPr>
          <w:rFonts w:ascii="Times New Roman" w:hAnsi="Times New Roman" w:cs="Times New Roman"/>
          <w:b/>
          <w:bCs/>
          <w:color w:val="000000" w:themeColor="text1"/>
          <w:sz w:val="20"/>
          <w:szCs w:val="20"/>
        </w:rPr>
      </w:pPr>
    </w:p>
    <w:p w14:paraId="75FD9DAC" w14:textId="77777777" w:rsidR="008F3B51" w:rsidRPr="00ED62DC" w:rsidRDefault="008F3B51" w:rsidP="0044481E">
      <w:pPr>
        <w:spacing w:after="0" w:line="240" w:lineRule="auto"/>
        <w:jc w:val="both"/>
        <w:rPr>
          <w:rFonts w:ascii="Times New Roman" w:hAnsi="Times New Roman" w:cs="Times New Roman"/>
          <w:b/>
          <w:bCs/>
          <w:color w:val="000000" w:themeColor="text1"/>
          <w:sz w:val="20"/>
          <w:szCs w:val="20"/>
        </w:rPr>
      </w:pPr>
    </w:p>
    <w:p w14:paraId="3A7449AC" w14:textId="77777777" w:rsidR="008F3B51" w:rsidRPr="00ED62DC" w:rsidRDefault="008F3B51" w:rsidP="0044481E">
      <w:pPr>
        <w:spacing w:after="0" w:line="240" w:lineRule="auto"/>
        <w:jc w:val="both"/>
        <w:rPr>
          <w:rFonts w:ascii="Times New Roman" w:hAnsi="Times New Roman" w:cs="Times New Roman"/>
          <w:b/>
          <w:bCs/>
          <w:color w:val="000000" w:themeColor="text1"/>
          <w:sz w:val="20"/>
          <w:szCs w:val="20"/>
        </w:rPr>
      </w:pPr>
    </w:p>
    <w:p w14:paraId="697599EF" w14:textId="77777777" w:rsidR="008F3B51" w:rsidRPr="00ED62DC" w:rsidRDefault="008F3B51" w:rsidP="0044481E">
      <w:pPr>
        <w:spacing w:after="0" w:line="240" w:lineRule="auto"/>
        <w:jc w:val="both"/>
        <w:rPr>
          <w:rFonts w:ascii="Times New Roman" w:hAnsi="Times New Roman" w:cs="Times New Roman"/>
          <w:b/>
          <w:bCs/>
          <w:color w:val="000000" w:themeColor="text1"/>
          <w:sz w:val="20"/>
          <w:szCs w:val="20"/>
        </w:rPr>
      </w:pPr>
    </w:p>
    <w:p w14:paraId="5CE7C31E" w14:textId="1AADD64B" w:rsidR="00BC29BB" w:rsidRPr="00ED62DC" w:rsidRDefault="00D22122" w:rsidP="008F3B51">
      <w:pPr>
        <w:spacing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b/>
          <w:bCs/>
          <w:color w:val="000000" w:themeColor="text1"/>
          <w:sz w:val="20"/>
          <w:szCs w:val="20"/>
        </w:rPr>
        <w:t xml:space="preserve">Table 2.  </w:t>
      </w:r>
      <w:r w:rsidRPr="00ED62DC">
        <w:rPr>
          <w:rFonts w:ascii="Times New Roman" w:hAnsi="Times New Roman" w:cs="Times New Roman"/>
          <w:color w:val="000000" w:themeColor="text1"/>
          <w:sz w:val="20"/>
          <w:szCs w:val="20"/>
        </w:rPr>
        <w:t>Spice-wise export quantity (tonnes) and value (Crore) from India during 2025-26 compared with 2024-25, and percentage change during February-March 2026 and April-May 2026 over 2025</w:t>
      </w:r>
    </w:p>
    <w:p w14:paraId="76292787" w14:textId="77777777" w:rsidR="008F3B51" w:rsidRPr="00ED62DC" w:rsidRDefault="008F3B51" w:rsidP="008F3B51">
      <w:pPr>
        <w:spacing w:after="0" w:line="240" w:lineRule="auto"/>
        <w:jc w:val="both"/>
        <w:rPr>
          <w:rFonts w:ascii="Times New Roman" w:hAnsi="Times New Roman" w:cs="Times New Roman"/>
          <w:color w:val="000000" w:themeColor="text1"/>
          <w:sz w:val="20"/>
          <w:szCs w:val="20"/>
        </w:rPr>
      </w:pPr>
    </w:p>
    <w:tbl>
      <w:tblPr>
        <w:tblW w:w="9209" w:type="dxa"/>
        <w:tblLayout w:type="fixed"/>
        <w:tblLook w:val="04A0" w:firstRow="1" w:lastRow="0" w:firstColumn="1" w:lastColumn="0" w:noHBand="0" w:noVBand="1"/>
      </w:tblPr>
      <w:tblGrid>
        <w:gridCol w:w="988"/>
        <w:gridCol w:w="850"/>
        <w:gridCol w:w="851"/>
        <w:gridCol w:w="850"/>
        <w:gridCol w:w="732"/>
        <w:gridCol w:w="827"/>
        <w:gridCol w:w="851"/>
        <w:gridCol w:w="850"/>
        <w:gridCol w:w="851"/>
        <w:gridCol w:w="850"/>
        <w:gridCol w:w="709"/>
      </w:tblGrid>
      <w:tr w:rsidR="00D22122" w:rsidRPr="00ED62DC" w14:paraId="6259E6BF" w14:textId="77777777" w:rsidTr="008F3B51">
        <w:trPr>
          <w:trHeight w:val="350"/>
        </w:trPr>
        <w:tc>
          <w:tcPr>
            <w:tcW w:w="988" w:type="dxa"/>
            <w:vMerge w:val="restart"/>
            <w:tcBorders>
              <w:top w:val="single" w:sz="4" w:space="0" w:color="auto"/>
            </w:tcBorders>
            <w:hideMark/>
          </w:tcPr>
          <w:p w14:paraId="0E79234F" w14:textId="0DF372F8" w:rsidR="00D22122" w:rsidRPr="00ED62DC" w:rsidRDefault="009277FE" w:rsidP="009D0D8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spacing w:val="-2"/>
                <w:kern w:val="0"/>
                <w:sz w:val="20"/>
                <w:szCs w:val="20"/>
                <w:lang w:val="en-US" w:eastAsia="en-IN"/>
                <w14:ligatures w14:val="none"/>
              </w:rPr>
              <w:lastRenderedPageBreak/>
              <w:t>Spice</w:t>
            </w:r>
          </w:p>
        </w:tc>
        <w:tc>
          <w:tcPr>
            <w:tcW w:w="1701" w:type="dxa"/>
            <w:gridSpan w:val="2"/>
            <w:tcBorders>
              <w:top w:val="single" w:sz="4" w:space="0" w:color="auto"/>
            </w:tcBorders>
            <w:noWrap/>
            <w:hideMark/>
          </w:tcPr>
          <w:p w14:paraId="584C4EF6" w14:textId="21B8C0F3" w:rsidR="00D22122" w:rsidRPr="00ED62DC" w:rsidRDefault="00D22122" w:rsidP="00777207">
            <w:pPr>
              <w:spacing w:after="0" w:line="240" w:lineRule="auto"/>
              <w:jc w:val="center"/>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spacing w:val="-2"/>
                <w:kern w:val="0"/>
                <w:sz w:val="20"/>
                <w:szCs w:val="20"/>
                <w:lang w:val="en-US" w:eastAsia="en-IN"/>
                <w14:ligatures w14:val="none"/>
              </w:rPr>
              <w:t>2025-26</w:t>
            </w:r>
          </w:p>
        </w:tc>
        <w:tc>
          <w:tcPr>
            <w:tcW w:w="1582" w:type="dxa"/>
            <w:gridSpan w:val="2"/>
            <w:tcBorders>
              <w:top w:val="single" w:sz="4" w:space="0" w:color="auto"/>
            </w:tcBorders>
            <w:noWrap/>
            <w:hideMark/>
          </w:tcPr>
          <w:p w14:paraId="027E153A" w14:textId="4E069BC0" w:rsidR="00D22122" w:rsidRPr="00ED62DC" w:rsidRDefault="00D22122" w:rsidP="00777207">
            <w:pPr>
              <w:spacing w:after="0" w:line="240" w:lineRule="auto"/>
              <w:jc w:val="center"/>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val="en-US" w:eastAsia="en-IN"/>
                <w14:ligatures w14:val="none"/>
              </w:rPr>
              <w:t>2024-25</w:t>
            </w:r>
          </w:p>
        </w:tc>
        <w:tc>
          <w:tcPr>
            <w:tcW w:w="1678" w:type="dxa"/>
            <w:gridSpan w:val="2"/>
            <w:tcBorders>
              <w:top w:val="single" w:sz="4" w:space="0" w:color="auto"/>
            </w:tcBorders>
            <w:noWrap/>
            <w:hideMark/>
          </w:tcPr>
          <w:p w14:paraId="3A010E17" w14:textId="19514483" w:rsidR="00D22122" w:rsidRPr="00ED62DC" w:rsidRDefault="00D22122" w:rsidP="009277FE">
            <w:pPr>
              <w:spacing w:after="0" w:line="240" w:lineRule="auto"/>
              <w:jc w:val="both"/>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val="en-US" w:eastAsia="en-IN"/>
                <w14:ligatures w14:val="none"/>
              </w:rPr>
              <w:t>% change 2025-26</w:t>
            </w:r>
            <w:r w:rsidR="009277FE" w:rsidRPr="00ED62DC">
              <w:rPr>
                <w:rFonts w:ascii="Times New Roman" w:eastAsia="Times New Roman" w:hAnsi="Times New Roman" w:cs="Times New Roman"/>
                <w:b/>
                <w:bCs/>
                <w:color w:val="000000" w:themeColor="text1"/>
                <w:kern w:val="0"/>
                <w:sz w:val="20"/>
                <w:szCs w:val="20"/>
                <w:lang w:val="en-US" w:eastAsia="en-IN"/>
                <w14:ligatures w14:val="none"/>
              </w:rPr>
              <w:t xml:space="preserve"> over 2024-25</w:t>
            </w:r>
          </w:p>
        </w:tc>
        <w:tc>
          <w:tcPr>
            <w:tcW w:w="1701" w:type="dxa"/>
            <w:gridSpan w:val="2"/>
            <w:tcBorders>
              <w:top w:val="single" w:sz="4" w:space="0" w:color="auto"/>
            </w:tcBorders>
            <w:noWrap/>
            <w:hideMark/>
          </w:tcPr>
          <w:p w14:paraId="55864ECA" w14:textId="499E954B" w:rsidR="00D22122" w:rsidRPr="00ED62DC" w:rsidRDefault="00D22122" w:rsidP="009277FE">
            <w:pPr>
              <w:spacing w:after="0" w:line="240" w:lineRule="auto"/>
              <w:jc w:val="both"/>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val="en-US" w:eastAsia="en-IN"/>
                <w14:ligatures w14:val="none"/>
              </w:rPr>
              <w:t>% change</w:t>
            </w:r>
            <w:r w:rsidRPr="00ED62DC">
              <w:rPr>
                <w:rFonts w:ascii="Times New Roman" w:eastAsia="Times New Roman" w:hAnsi="Times New Roman" w:cs="Times New Roman"/>
                <w:b/>
                <w:bCs/>
                <w:color w:val="000000" w:themeColor="text1"/>
                <w:kern w:val="0"/>
                <w:sz w:val="20"/>
                <w:szCs w:val="20"/>
                <w:lang w:eastAsia="en-IN"/>
                <w14:ligatures w14:val="none"/>
              </w:rPr>
              <w:t xml:space="preserve"> Fab-March 2026 </w:t>
            </w:r>
            <w:r w:rsidR="009277FE" w:rsidRPr="00ED62DC">
              <w:rPr>
                <w:rFonts w:ascii="Times New Roman" w:eastAsia="Times New Roman" w:hAnsi="Times New Roman" w:cs="Times New Roman"/>
                <w:b/>
                <w:bCs/>
                <w:color w:val="000000" w:themeColor="text1"/>
                <w:kern w:val="0"/>
                <w:sz w:val="20"/>
                <w:szCs w:val="20"/>
                <w:lang w:eastAsia="en-IN"/>
                <w14:ligatures w14:val="none"/>
              </w:rPr>
              <w:t>over</w:t>
            </w:r>
            <w:r w:rsidRPr="00ED62DC">
              <w:rPr>
                <w:rFonts w:ascii="Times New Roman" w:eastAsia="Times New Roman" w:hAnsi="Times New Roman" w:cs="Times New Roman"/>
                <w:b/>
                <w:bCs/>
                <w:color w:val="000000" w:themeColor="text1"/>
                <w:kern w:val="0"/>
                <w:sz w:val="20"/>
                <w:szCs w:val="20"/>
                <w:lang w:eastAsia="en-IN"/>
                <w14:ligatures w14:val="none"/>
              </w:rPr>
              <w:t xml:space="preserve"> Fab-March 2025</w:t>
            </w:r>
          </w:p>
        </w:tc>
        <w:tc>
          <w:tcPr>
            <w:tcW w:w="1559" w:type="dxa"/>
            <w:gridSpan w:val="2"/>
            <w:tcBorders>
              <w:top w:val="single" w:sz="4" w:space="0" w:color="auto"/>
            </w:tcBorders>
          </w:tcPr>
          <w:p w14:paraId="1C898256" w14:textId="5A91A5BC" w:rsidR="00D22122" w:rsidRPr="00ED62DC" w:rsidRDefault="00D22122" w:rsidP="009277FE">
            <w:pPr>
              <w:spacing w:after="0" w:line="240" w:lineRule="auto"/>
              <w:jc w:val="both"/>
              <w:rPr>
                <w:rFonts w:ascii="Times New Roman" w:eastAsia="Times New Roman" w:hAnsi="Times New Roman" w:cs="Times New Roman"/>
                <w:b/>
                <w:bCs/>
                <w:color w:val="000000" w:themeColor="text1"/>
                <w:kern w:val="0"/>
                <w:sz w:val="20"/>
                <w:szCs w:val="20"/>
                <w:lang w:val="en-US"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 xml:space="preserve">% change Apr–May 2026 </w:t>
            </w:r>
            <w:r w:rsidR="009277FE" w:rsidRPr="00ED62DC">
              <w:rPr>
                <w:rFonts w:ascii="Times New Roman" w:eastAsia="Times New Roman" w:hAnsi="Times New Roman" w:cs="Times New Roman"/>
                <w:b/>
                <w:bCs/>
                <w:color w:val="000000" w:themeColor="text1"/>
                <w:kern w:val="0"/>
                <w:sz w:val="20"/>
                <w:szCs w:val="20"/>
                <w:lang w:eastAsia="en-IN"/>
                <w14:ligatures w14:val="none"/>
              </w:rPr>
              <w:t xml:space="preserve">over </w:t>
            </w:r>
            <w:r w:rsidRPr="00ED62DC">
              <w:rPr>
                <w:rFonts w:ascii="Times New Roman" w:eastAsia="Times New Roman" w:hAnsi="Times New Roman" w:cs="Times New Roman"/>
                <w:b/>
                <w:bCs/>
                <w:color w:val="000000" w:themeColor="text1"/>
                <w:kern w:val="0"/>
                <w:sz w:val="20"/>
                <w:szCs w:val="20"/>
                <w:lang w:eastAsia="en-IN"/>
                <w14:ligatures w14:val="none"/>
              </w:rPr>
              <w:t>Apr–May 2025</w:t>
            </w:r>
          </w:p>
        </w:tc>
      </w:tr>
      <w:tr w:rsidR="00D22122" w:rsidRPr="00ED62DC" w14:paraId="58679CA8" w14:textId="77777777" w:rsidTr="008F3B51">
        <w:trPr>
          <w:trHeight w:val="279"/>
        </w:trPr>
        <w:tc>
          <w:tcPr>
            <w:tcW w:w="988" w:type="dxa"/>
            <w:vMerge/>
            <w:tcBorders>
              <w:bottom w:val="single" w:sz="4" w:space="0" w:color="auto"/>
            </w:tcBorders>
            <w:hideMark/>
          </w:tcPr>
          <w:p w14:paraId="2DF60E7F" w14:textId="77777777" w:rsidR="00D22122" w:rsidRPr="00ED62DC" w:rsidRDefault="00D22122" w:rsidP="009D0D8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p>
        </w:tc>
        <w:tc>
          <w:tcPr>
            <w:tcW w:w="850" w:type="dxa"/>
            <w:tcBorders>
              <w:bottom w:val="single" w:sz="4" w:space="0" w:color="auto"/>
            </w:tcBorders>
            <w:hideMark/>
          </w:tcPr>
          <w:p w14:paraId="5396E132" w14:textId="77777777" w:rsidR="00D22122" w:rsidRPr="00ED62DC" w:rsidRDefault="00D22122" w:rsidP="009D0D8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hAnsi="Times New Roman" w:cs="Times New Roman"/>
                <w:b/>
                <w:bCs/>
                <w:color w:val="000000" w:themeColor="text1"/>
                <w:sz w:val="20"/>
                <w:szCs w:val="20"/>
              </w:rPr>
              <w:t>Qty</w:t>
            </w:r>
          </w:p>
        </w:tc>
        <w:tc>
          <w:tcPr>
            <w:tcW w:w="851" w:type="dxa"/>
            <w:tcBorders>
              <w:bottom w:val="single" w:sz="4" w:space="0" w:color="auto"/>
            </w:tcBorders>
            <w:hideMark/>
          </w:tcPr>
          <w:p w14:paraId="5E4A2ACE" w14:textId="77777777" w:rsidR="00D22122" w:rsidRPr="00ED62DC" w:rsidRDefault="00D22122" w:rsidP="009D0D8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hAnsi="Times New Roman" w:cs="Times New Roman"/>
                <w:b/>
                <w:bCs/>
                <w:color w:val="000000" w:themeColor="text1"/>
                <w:sz w:val="20"/>
                <w:szCs w:val="20"/>
              </w:rPr>
              <w:t>Value</w:t>
            </w:r>
          </w:p>
        </w:tc>
        <w:tc>
          <w:tcPr>
            <w:tcW w:w="850" w:type="dxa"/>
            <w:tcBorders>
              <w:bottom w:val="single" w:sz="4" w:space="0" w:color="auto"/>
            </w:tcBorders>
            <w:hideMark/>
          </w:tcPr>
          <w:p w14:paraId="5E591366" w14:textId="77777777" w:rsidR="00D22122" w:rsidRPr="00ED62DC" w:rsidRDefault="00D22122" w:rsidP="009D0D8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hAnsi="Times New Roman" w:cs="Times New Roman"/>
                <w:b/>
                <w:bCs/>
                <w:color w:val="000000" w:themeColor="text1"/>
                <w:sz w:val="20"/>
                <w:szCs w:val="20"/>
              </w:rPr>
              <w:t>Qty</w:t>
            </w:r>
          </w:p>
        </w:tc>
        <w:tc>
          <w:tcPr>
            <w:tcW w:w="732" w:type="dxa"/>
            <w:tcBorders>
              <w:bottom w:val="single" w:sz="4" w:space="0" w:color="auto"/>
            </w:tcBorders>
            <w:hideMark/>
          </w:tcPr>
          <w:p w14:paraId="1A4A25D8" w14:textId="77777777" w:rsidR="00D22122" w:rsidRPr="00ED62DC" w:rsidRDefault="00D22122" w:rsidP="009D0D8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hAnsi="Times New Roman" w:cs="Times New Roman"/>
                <w:b/>
                <w:bCs/>
                <w:color w:val="000000" w:themeColor="text1"/>
                <w:sz w:val="20"/>
                <w:szCs w:val="20"/>
              </w:rPr>
              <w:t>Value</w:t>
            </w:r>
          </w:p>
        </w:tc>
        <w:tc>
          <w:tcPr>
            <w:tcW w:w="827" w:type="dxa"/>
            <w:tcBorders>
              <w:bottom w:val="single" w:sz="4" w:space="0" w:color="auto"/>
            </w:tcBorders>
            <w:hideMark/>
          </w:tcPr>
          <w:p w14:paraId="299A97A0" w14:textId="77777777" w:rsidR="00D22122" w:rsidRPr="00ED62DC" w:rsidRDefault="00D22122" w:rsidP="009D0D8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hAnsi="Times New Roman" w:cs="Times New Roman"/>
                <w:b/>
                <w:bCs/>
                <w:color w:val="000000" w:themeColor="text1"/>
                <w:sz w:val="20"/>
                <w:szCs w:val="20"/>
              </w:rPr>
              <w:t>Qty</w:t>
            </w:r>
          </w:p>
        </w:tc>
        <w:tc>
          <w:tcPr>
            <w:tcW w:w="851" w:type="dxa"/>
            <w:tcBorders>
              <w:bottom w:val="single" w:sz="4" w:space="0" w:color="auto"/>
            </w:tcBorders>
            <w:hideMark/>
          </w:tcPr>
          <w:p w14:paraId="2AB7ABE5" w14:textId="77777777" w:rsidR="00D22122" w:rsidRPr="00ED62DC" w:rsidRDefault="00D22122" w:rsidP="009D0D8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hAnsi="Times New Roman" w:cs="Times New Roman"/>
                <w:b/>
                <w:bCs/>
                <w:color w:val="000000" w:themeColor="text1"/>
                <w:sz w:val="20"/>
                <w:szCs w:val="20"/>
              </w:rPr>
              <w:t>Value</w:t>
            </w:r>
          </w:p>
        </w:tc>
        <w:tc>
          <w:tcPr>
            <w:tcW w:w="850" w:type="dxa"/>
            <w:tcBorders>
              <w:bottom w:val="single" w:sz="4" w:space="0" w:color="auto"/>
            </w:tcBorders>
            <w:noWrap/>
            <w:hideMark/>
          </w:tcPr>
          <w:p w14:paraId="634A30B4" w14:textId="77777777" w:rsidR="00D22122" w:rsidRPr="00ED62DC" w:rsidRDefault="00D22122" w:rsidP="009D0D8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hAnsi="Times New Roman" w:cs="Times New Roman"/>
                <w:b/>
                <w:bCs/>
                <w:color w:val="000000" w:themeColor="text1"/>
                <w:sz w:val="20"/>
                <w:szCs w:val="20"/>
              </w:rPr>
              <w:t>Qty</w:t>
            </w:r>
          </w:p>
        </w:tc>
        <w:tc>
          <w:tcPr>
            <w:tcW w:w="851" w:type="dxa"/>
            <w:tcBorders>
              <w:bottom w:val="single" w:sz="4" w:space="0" w:color="auto"/>
            </w:tcBorders>
            <w:noWrap/>
            <w:hideMark/>
          </w:tcPr>
          <w:p w14:paraId="303B524B" w14:textId="77777777" w:rsidR="00D22122" w:rsidRPr="00ED62DC" w:rsidRDefault="00D22122" w:rsidP="009D0D8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hAnsi="Times New Roman" w:cs="Times New Roman"/>
                <w:b/>
                <w:bCs/>
                <w:color w:val="000000" w:themeColor="text1"/>
                <w:sz w:val="20"/>
                <w:szCs w:val="20"/>
              </w:rPr>
              <w:t>Value</w:t>
            </w:r>
          </w:p>
        </w:tc>
        <w:tc>
          <w:tcPr>
            <w:tcW w:w="850" w:type="dxa"/>
            <w:tcBorders>
              <w:bottom w:val="single" w:sz="4" w:space="0" w:color="auto"/>
            </w:tcBorders>
          </w:tcPr>
          <w:p w14:paraId="6ED0C61C" w14:textId="77777777" w:rsidR="00D22122" w:rsidRPr="00ED62DC" w:rsidRDefault="00D22122" w:rsidP="009D0D8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hAnsi="Times New Roman" w:cs="Times New Roman"/>
                <w:b/>
                <w:bCs/>
                <w:color w:val="000000" w:themeColor="text1"/>
                <w:sz w:val="20"/>
                <w:szCs w:val="20"/>
              </w:rPr>
              <w:t>Qty</w:t>
            </w:r>
          </w:p>
        </w:tc>
        <w:tc>
          <w:tcPr>
            <w:tcW w:w="709" w:type="dxa"/>
            <w:tcBorders>
              <w:bottom w:val="single" w:sz="4" w:space="0" w:color="auto"/>
            </w:tcBorders>
          </w:tcPr>
          <w:p w14:paraId="5A4D0938" w14:textId="77777777" w:rsidR="00D22122" w:rsidRPr="00ED62DC" w:rsidRDefault="00D22122" w:rsidP="009D0D80">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hAnsi="Times New Roman" w:cs="Times New Roman"/>
                <w:b/>
                <w:bCs/>
                <w:color w:val="000000" w:themeColor="text1"/>
                <w:sz w:val="20"/>
                <w:szCs w:val="20"/>
              </w:rPr>
              <w:t>Value</w:t>
            </w:r>
          </w:p>
        </w:tc>
      </w:tr>
      <w:tr w:rsidR="00D22122" w:rsidRPr="00ED62DC" w14:paraId="5210C460" w14:textId="77777777" w:rsidTr="008F3B51">
        <w:trPr>
          <w:trHeight w:val="217"/>
        </w:trPr>
        <w:tc>
          <w:tcPr>
            <w:tcW w:w="988" w:type="dxa"/>
            <w:tcBorders>
              <w:top w:val="single" w:sz="4" w:space="0" w:color="auto"/>
            </w:tcBorders>
            <w:hideMark/>
          </w:tcPr>
          <w:p w14:paraId="19F1C7C7"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spacing w:val="-2"/>
                <w:kern w:val="0"/>
                <w:sz w:val="19"/>
                <w:szCs w:val="19"/>
                <w:lang w:val="en-US" w:eastAsia="en-IN"/>
                <w14:ligatures w14:val="none"/>
              </w:rPr>
              <w:t>Pepper</w:t>
            </w:r>
          </w:p>
        </w:tc>
        <w:tc>
          <w:tcPr>
            <w:tcW w:w="850" w:type="dxa"/>
            <w:tcBorders>
              <w:top w:val="single" w:sz="4" w:space="0" w:color="auto"/>
            </w:tcBorders>
            <w:hideMark/>
          </w:tcPr>
          <w:p w14:paraId="6B89E299"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19806</w:t>
            </w:r>
          </w:p>
        </w:tc>
        <w:tc>
          <w:tcPr>
            <w:tcW w:w="851" w:type="dxa"/>
            <w:tcBorders>
              <w:top w:val="single" w:sz="4" w:space="0" w:color="auto"/>
            </w:tcBorders>
            <w:hideMark/>
          </w:tcPr>
          <w:p w14:paraId="23C70876"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1217</w:t>
            </w:r>
          </w:p>
        </w:tc>
        <w:tc>
          <w:tcPr>
            <w:tcW w:w="850" w:type="dxa"/>
            <w:tcBorders>
              <w:top w:val="single" w:sz="4" w:space="0" w:color="auto"/>
            </w:tcBorders>
            <w:hideMark/>
          </w:tcPr>
          <w:p w14:paraId="259C5A88"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20830</w:t>
            </w:r>
          </w:p>
        </w:tc>
        <w:tc>
          <w:tcPr>
            <w:tcW w:w="732" w:type="dxa"/>
            <w:tcBorders>
              <w:top w:val="single" w:sz="4" w:space="0" w:color="auto"/>
            </w:tcBorders>
            <w:hideMark/>
          </w:tcPr>
          <w:p w14:paraId="7A49C7B4"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1055</w:t>
            </w:r>
          </w:p>
        </w:tc>
        <w:tc>
          <w:tcPr>
            <w:tcW w:w="827" w:type="dxa"/>
            <w:tcBorders>
              <w:top w:val="single" w:sz="4" w:space="0" w:color="auto"/>
            </w:tcBorders>
            <w:hideMark/>
          </w:tcPr>
          <w:p w14:paraId="7B7F3C59"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-4.92</w:t>
            </w:r>
          </w:p>
        </w:tc>
        <w:tc>
          <w:tcPr>
            <w:tcW w:w="851" w:type="dxa"/>
            <w:tcBorders>
              <w:top w:val="single" w:sz="4" w:space="0" w:color="auto"/>
            </w:tcBorders>
            <w:hideMark/>
          </w:tcPr>
          <w:p w14:paraId="5B3B1B31"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15.37</w:t>
            </w:r>
          </w:p>
        </w:tc>
        <w:tc>
          <w:tcPr>
            <w:tcW w:w="850" w:type="dxa"/>
            <w:tcBorders>
              <w:top w:val="single" w:sz="4" w:space="0" w:color="auto"/>
            </w:tcBorders>
            <w:noWrap/>
            <w:hideMark/>
          </w:tcPr>
          <w:p w14:paraId="058F0032"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1.68</w:t>
            </w:r>
          </w:p>
        </w:tc>
        <w:tc>
          <w:tcPr>
            <w:tcW w:w="851" w:type="dxa"/>
            <w:tcBorders>
              <w:top w:val="single" w:sz="4" w:space="0" w:color="auto"/>
            </w:tcBorders>
            <w:noWrap/>
            <w:hideMark/>
          </w:tcPr>
          <w:p w14:paraId="5A072606"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12.40</w:t>
            </w:r>
          </w:p>
        </w:tc>
        <w:tc>
          <w:tcPr>
            <w:tcW w:w="850" w:type="dxa"/>
            <w:tcBorders>
              <w:top w:val="single" w:sz="4" w:space="0" w:color="auto"/>
            </w:tcBorders>
          </w:tcPr>
          <w:p w14:paraId="5F4AA64B"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-11.61</w:t>
            </w:r>
          </w:p>
        </w:tc>
        <w:tc>
          <w:tcPr>
            <w:tcW w:w="709" w:type="dxa"/>
            <w:tcBorders>
              <w:top w:val="single" w:sz="4" w:space="0" w:color="auto"/>
            </w:tcBorders>
          </w:tcPr>
          <w:p w14:paraId="4DDA7D96"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-5.82</w:t>
            </w:r>
          </w:p>
        </w:tc>
      </w:tr>
      <w:tr w:rsidR="00D22122" w:rsidRPr="00ED62DC" w14:paraId="41C03841" w14:textId="77777777" w:rsidTr="008F3B51">
        <w:trPr>
          <w:trHeight w:val="159"/>
        </w:trPr>
        <w:tc>
          <w:tcPr>
            <w:tcW w:w="988" w:type="dxa"/>
            <w:hideMark/>
          </w:tcPr>
          <w:p w14:paraId="684A6B64"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val="en-US" w:eastAsia="en-IN"/>
                <w14:ligatures w14:val="none"/>
              </w:rPr>
              <w:t>Cardamom (S)</w:t>
            </w:r>
          </w:p>
        </w:tc>
        <w:tc>
          <w:tcPr>
            <w:tcW w:w="850" w:type="dxa"/>
            <w:hideMark/>
          </w:tcPr>
          <w:p w14:paraId="0A06D757"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15050</w:t>
            </w:r>
          </w:p>
        </w:tc>
        <w:tc>
          <w:tcPr>
            <w:tcW w:w="851" w:type="dxa"/>
            <w:hideMark/>
          </w:tcPr>
          <w:p w14:paraId="437FC952"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3672</w:t>
            </w:r>
          </w:p>
        </w:tc>
        <w:tc>
          <w:tcPr>
            <w:tcW w:w="850" w:type="dxa"/>
            <w:hideMark/>
          </w:tcPr>
          <w:p w14:paraId="185B28C8"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6728</w:t>
            </w:r>
          </w:p>
        </w:tc>
        <w:tc>
          <w:tcPr>
            <w:tcW w:w="732" w:type="dxa"/>
            <w:hideMark/>
          </w:tcPr>
          <w:p w14:paraId="7C3839E6"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1567</w:t>
            </w:r>
          </w:p>
        </w:tc>
        <w:tc>
          <w:tcPr>
            <w:tcW w:w="827" w:type="dxa"/>
            <w:hideMark/>
          </w:tcPr>
          <w:p w14:paraId="14122411"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123.69</w:t>
            </w:r>
          </w:p>
        </w:tc>
        <w:tc>
          <w:tcPr>
            <w:tcW w:w="851" w:type="dxa"/>
            <w:hideMark/>
          </w:tcPr>
          <w:p w14:paraId="16FE6F3A"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134.36</w:t>
            </w:r>
          </w:p>
        </w:tc>
        <w:tc>
          <w:tcPr>
            <w:tcW w:w="850" w:type="dxa"/>
            <w:noWrap/>
            <w:hideMark/>
          </w:tcPr>
          <w:p w14:paraId="39FDCFC0"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93.10</w:t>
            </w:r>
          </w:p>
        </w:tc>
        <w:tc>
          <w:tcPr>
            <w:tcW w:w="851" w:type="dxa"/>
            <w:noWrap/>
            <w:hideMark/>
          </w:tcPr>
          <w:p w14:paraId="5917BDC2"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61.25</w:t>
            </w:r>
          </w:p>
        </w:tc>
        <w:tc>
          <w:tcPr>
            <w:tcW w:w="850" w:type="dxa"/>
          </w:tcPr>
          <w:p w14:paraId="7ED7A07A"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49.87</w:t>
            </w:r>
          </w:p>
        </w:tc>
        <w:tc>
          <w:tcPr>
            <w:tcW w:w="709" w:type="dxa"/>
          </w:tcPr>
          <w:p w14:paraId="313462D4"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46.25</w:t>
            </w:r>
          </w:p>
        </w:tc>
      </w:tr>
      <w:tr w:rsidR="00D22122" w:rsidRPr="00ED62DC" w14:paraId="2134B06D" w14:textId="77777777" w:rsidTr="008F3B51">
        <w:trPr>
          <w:trHeight w:val="205"/>
        </w:trPr>
        <w:tc>
          <w:tcPr>
            <w:tcW w:w="988" w:type="dxa"/>
            <w:hideMark/>
          </w:tcPr>
          <w:p w14:paraId="063AFC45"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val="en-US" w:eastAsia="en-IN"/>
                <w14:ligatures w14:val="none"/>
              </w:rPr>
              <w:t>Cardamom (L)</w:t>
            </w:r>
          </w:p>
        </w:tc>
        <w:tc>
          <w:tcPr>
            <w:tcW w:w="850" w:type="dxa"/>
            <w:hideMark/>
          </w:tcPr>
          <w:p w14:paraId="1FEC90B3"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1753</w:t>
            </w:r>
          </w:p>
        </w:tc>
        <w:tc>
          <w:tcPr>
            <w:tcW w:w="851" w:type="dxa"/>
            <w:hideMark/>
          </w:tcPr>
          <w:p w14:paraId="5177EE41"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316</w:t>
            </w:r>
          </w:p>
        </w:tc>
        <w:tc>
          <w:tcPr>
            <w:tcW w:w="850" w:type="dxa"/>
            <w:hideMark/>
          </w:tcPr>
          <w:p w14:paraId="00FC1B8B"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1368</w:t>
            </w:r>
          </w:p>
        </w:tc>
        <w:tc>
          <w:tcPr>
            <w:tcW w:w="732" w:type="dxa"/>
            <w:hideMark/>
          </w:tcPr>
          <w:p w14:paraId="62B9547F"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229</w:t>
            </w:r>
          </w:p>
        </w:tc>
        <w:tc>
          <w:tcPr>
            <w:tcW w:w="827" w:type="dxa"/>
            <w:hideMark/>
          </w:tcPr>
          <w:p w14:paraId="7AEB8465"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28.14</w:t>
            </w:r>
          </w:p>
        </w:tc>
        <w:tc>
          <w:tcPr>
            <w:tcW w:w="851" w:type="dxa"/>
            <w:hideMark/>
          </w:tcPr>
          <w:p w14:paraId="38431073"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37.69</w:t>
            </w:r>
          </w:p>
        </w:tc>
        <w:tc>
          <w:tcPr>
            <w:tcW w:w="850" w:type="dxa"/>
            <w:noWrap/>
            <w:hideMark/>
          </w:tcPr>
          <w:p w14:paraId="7FDAEC0E"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34.47</w:t>
            </w:r>
          </w:p>
        </w:tc>
        <w:tc>
          <w:tcPr>
            <w:tcW w:w="851" w:type="dxa"/>
            <w:noWrap/>
            <w:hideMark/>
          </w:tcPr>
          <w:p w14:paraId="0C9EE4F4"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35.06</w:t>
            </w:r>
          </w:p>
        </w:tc>
        <w:tc>
          <w:tcPr>
            <w:tcW w:w="850" w:type="dxa"/>
          </w:tcPr>
          <w:p w14:paraId="46C20E87"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-19.53</w:t>
            </w:r>
          </w:p>
        </w:tc>
        <w:tc>
          <w:tcPr>
            <w:tcW w:w="709" w:type="dxa"/>
          </w:tcPr>
          <w:p w14:paraId="1DB41920"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-11.02</w:t>
            </w:r>
          </w:p>
        </w:tc>
      </w:tr>
      <w:tr w:rsidR="00D22122" w:rsidRPr="00ED62DC" w14:paraId="38AED63A" w14:textId="77777777" w:rsidTr="008F3B51">
        <w:trPr>
          <w:trHeight w:val="217"/>
        </w:trPr>
        <w:tc>
          <w:tcPr>
            <w:tcW w:w="988" w:type="dxa"/>
            <w:hideMark/>
          </w:tcPr>
          <w:p w14:paraId="7D610A3B"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spacing w:val="-2"/>
                <w:kern w:val="0"/>
                <w:sz w:val="19"/>
                <w:szCs w:val="19"/>
                <w:lang w:val="en-US" w:eastAsia="en-IN"/>
                <w14:ligatures w14:val="none"/>
              </w:rPr>
              <w:t>Chilli</w:t>
            </w:r>
          </w:p>
        </w:tc>
        <w:tc>
          <w:tcPr>
            <w:tcW w:w="850" w:type="dxa"/>
            <w:hideMark/>
          </w:tcPr>
          <w:p w14:paraId="0ED261F6"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2"/>
                <w:kern w:val="0"/>
                <w:sz w:val="20"/>
                <w:szCs w:val="20"/>
                <w:lang w:val="en-US" w:eastAsia="en-IN"/>
                <w14:ligatures w14:val="none"/>
              </w:rPr>
              <w:t>683681</w:t>
            </w:r>
          </w:p>
        </w:tc>
        <w:tc>
          <w:tcPr>
            <w:tcW w:w="851" w:type="dxa"/>
            <w:hideMark/>
          </w:tcPr>
          <w:p w14:paraId="3804DCD4"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10396</w:t>
            </w:r>
          </w:p>
        </w:tc>
        <w:tc>
          <w:tcPr>
            <w:tcW w:w="850" w:type="dxa"/>
            <w:hideMark/>
          </w:tcPr>
          <w:p w14:paraId="2D988F47"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715506</w:t>
            </w:r>
          </w:p>
        </w:tc>
        <w:tc>
          <w:tcPr>
            <w:tcW w:w="732" w:type="dxa"/>
            <w:hideMark/>
          </w:tcPr>
          <w:p w14:paraId="50BD5D99"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11405</w:t>
            </w:r>
          </w:p>
        </w:tc>
        <w:tc>
          <w:tcPr>
            <w:tcW w:w="827" w:type="dxa"/>
            <w:hideMark/>
          </w:tcPr>
          <w:p w14:paraId="0BBCA960"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-4.45</w:t>
            </w:r>
          </w:p>
        </w:tc>
        <w:tc>
          <w:tcPr>
            <w:tcW w:w="851" w:type="dxa"/>
            <w:hideMark/>
          </w:tcPr>
          <w:p w14:paraId="5FBA85D7"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-8.85</w:t>
            </w:r>
          </w:p>
        </w:tc>
        <w:tc>
          <w:tcPr>
            <w:tcW w:w="850" w:type="dxa"/>
            <w:noWrap/>
            <w:hideMark/>
          </w:tcPr>
          <w:p w14:paraId="11AD6B44"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-52.04</w:t>
            </w:r>
          </w:p>
        </w:tc>
        <w:tc>
          <w:tcPr>
            <w:tcW w:w="851" w:type="dxa"/>
            <w:noWrap/>
            <w:hideMark/>
          </w:tcPr>
          <w:p w14:paraId="44F8C13B"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-36.13</w:t>
            </w:r>
          </w:p>
        </w:tc>
        <w:tc>
          <w:tcPr>
            <w:tcW w:w="850" w:type="dxa"/>
          </w:tcPr>
          <w:p w14:paraId="1619D0C0"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-35.44</w:t>
            </w:r>
          </w:p>
        </w:tc>
        <w:tc>
          <w:tcPr>
            <w:tcW w:w="709" w:type="dxa"/>
          </w:tcPr>
          <w:p w14:paraId="776A00D5"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0.45</w:t>
            </w:r>
          </w:p>
        </w:tc>
      </w:tr>
      <w:tr w:rsidR="00D22122" w:rsidRPr="00ED62DC" w14:paraId="0BD99F14" w14:textId="77777777" w:rsidTr="008F3B51">
        <w:trPr>
          <w:trHeight w:val="217"/>
        </w:trPr>
        <w:tc>
          <w:tcPr>
            <w:tcW w:w="988" w:type="dxa"/>
            <w:hideMark/>
          </w:tcPr>
          <w:p w14:paraId="265D49CF"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spacing w:val="-2"/>
                <w:kern w:val="0"/>
                <w:sz w:val="19"/>
                <w:szCs w:val="19"/>
                <w:lang w:val="en-US" w:eastAsia="en-IN"/>
                <w14:ligatures w14:val="none"/>
              </w:rPr>
              <w:t>Ginger</w:t>
            </w:r>
          </w:p>
        </w:tc>
        <w:tc>
          <w:tcPr>
            <w:tcW w:w="850" w:type="dxa"/>
            <w:hideMark/>
          </w:tcPr>
          <w:p w14:paraId="63E562C3"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2"/>
                <w:kern w:val="0"/>
                <w:sz w:val="20"/>
                <w:szCs w:val="20"/>
                <w:lang w:val="en-US" w:eastAsia="en-IN"/>
                <w14:ligatures w14:val="none"/>
              </w:rPr>
              <w:t>146257</w:t>
            </w:r>
          </w:p>
        </w:tc>
        <w:tc>
          <w:tcPr>
            <w:tcW w:w="851" w:type="dxa"/>
            <w:hideMark/>
          </w:tcPr>
          <w:p w14:paraId="720AC780"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1261</w:t>
            </w:r>
          </w:p>
        </w:tc>
        <w:tc>
          <w:tcPr>
            <w:tcW w:w="850" w:type="dxa"/>
            <w:hideMark/>
          </w:tcPr>
          <w:p w14:paraId="22947296"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131360</w:t>
            </w:r>
          </w:p>
        </w:tc>
        <w:tc>
          <w:tcPr>
            <w:tcW w:w="732" w:type="dxa"/>
            <w:hideMark/>
          </w:tcPr>
          <w:p w14:paraId="33FCAC59"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1062</w:t>
            </w:r>
          </w:p>
        </w:tc>
        <w:tc>
          <w:tcPr>
            <w:tcW w:w="827" w:type="dxa"/>
            <w:hideMark/>
          </w:tcPr>
          <w:p w14:paraId="7F6CB396"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11.34</w:t>
            </w:r>
          </w:p>
        </w:tc>
        <w:tc>
          <w:tcPr>
            <w:tcW w:w="851" w:type="dxa"/>
            <w:hideMark/>
          </w:tcPr>
          <w:p w14:paraId="083278DB"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18.69</w:t>
            </w:r>
          </w:p>
        </w:tc>
        <w:tc>
          <w:tcPr>
            <w:tcW w:w="850" w:type="dxa"/>
            <w:noWrap/>
            <w:hideMark/>
          </w:tcPr>
          <w:p w14:paraId="13532AAD"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-41.54</w:t>
            </w:r>
          </w:p>
        </w:tc>
        <w:tc>
          <w:tcPr>
            <w:tcW w:w="851" w:type="dxa"/>
            <w:noWrap/>
            <w:hideMark/>
          </w:tcPr>
          <w:p w14:paraId="7898DC67"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-32.09</w:t>
            </w:r>
          </w:p>
        </w:tc>
        <w:tc>
          <w:tcPr>
            <w:tcW w:w="850" w:type="dxa"/>
          </w:tcPr>
          <w:p w14:paraId="1B4C460B"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-56.22</w:t>
            </w:r>
          </w:p>
        </w:tc>
        <w:tc>
          <w:tcPr>
            <w:tcW w:w="709" w:type="dxa"/>
          </w:tcPr>
          <w:p w14:paraId="5827D9C1"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-36.06</w:t>
            </w:r>
          </w:p>
        </w:tc>
      </w:tr>
      <w:tr w:rsidR="00D22122" w:rsidRPr="00ED62DC" w14:paraId="2290B88D" w14:textId="77777777" w:rsidTr="008F3B51">
        <w:trPr>
          <w:trHeight w:val="58"/>
        </w:trPr>
        <w:tc>
          <w:tcPr>
            <w:tcW w:w="988" w:type="dxa"/>
            <w:hideMark/>
          </w:tcPr>
          <w:p w14:paraId="36B86D33"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spacing w:val="-2"/>
                <w:kern w:val="0"/>
                <w:sz w:val="19"/>
                <w:szCs w:val="19"/>
                <w:lang w:val="en-US" w:eastAsia="en-IN"/>
                <w14:ligatures w14:val="none"/>
              </w:rPr>
              <w:t>Turmeric</w:t>
            </w:r>
          </w:p>
        </w:tc>
        <w:tc>
          <w:tcPr>
            <w:tcW w:w="850" w:type="dxa"/>
            <w:hideMark/>
          </w:tcPr>
          <w:p w14:paraId="5C421A70"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2"/>
                <w:kern w:val="0"/>
                <w:sz w:val="20"/>
                <w:szCs w:val="20"/>
                <w:lang w:val="en-US" w:eastAsia="en-IN"/>
                <w14:ligatures w14:val="none"/>
              </w:rPr>
              <w:t>175896</w:t>
            </w:r>
          </w:p>
        </w:tc>
        <w:tc>
          <w:tcPr>
            <w:tcW w:w="851" w:type="dxa"/>
            <w:hideMark/>
          </w:tcPr>
          <w:p w14:paraId="6EFD1D84"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2887</w:t>
            </w:r>
          </w:p>
        </w:tc>
        <w:tc>
          <w:tcPr>
            <w:tcW w:w="850" w:type="dxa"/>
            <w:hideMark/>
          </w:tcPr>
          <w:p w14:paraId="7F624131"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176325</w:t>
            </w:r>
          </w:p>
        </w:tc>
        <w:tc>
          <w:tcPr>
            <w:tcW w:w="732" w:type="dxa"/>
            <w:hideMark/>
          </w:tcPr>
          <w:p w14:paraId="776BF8E5"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2885</w:t>
            </w:r>
          </w:p>
        </w:tc>
        <w:tc>
          <w:tcPr>
            <w:tcW w:w="827" w:type="dxa"/>
            <w:hideMark/>
          </w:tcPr>
          <w:p w14:paraId="04387264"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-0.24</w:t>
            </w:r>
          </w:p>
        </w:tc>
        <w:tc>
          <w:tcPr>
            <w:tcW w:w="851" w:type="dxa"/>
            <w:hideMark/>
          </w:tcPr>
          <w:p w14:paraId="048909EC"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0.06</w:t>
            </w:r>
          </w:p>
        </w:tc>
        <w:tc>
          <w:tcPr>
            <w:tcW w:w="850" w:type="dxa"/>
            <w:noWrap/>
            <w:hideMark/>
          </w:tcPr>
          <w:p w14:paraId="184E60ED"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-13.28</w:t>
            </w:r>
          </w:p>
        </w:tc>
        <w:tc>
          <w:tcPr>
            <w:tcW w:w="851" w:type="dxa"/>
            <w:noWrap/>
            <w:hideMark/>
          </w:tcPr>
          <w:p w14:paraId="11E934CC"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-3.88</w:t>
            </w:r>
          </w:p>
        </w:tc>
        <w:tc>
          <w:tcPr>
            <w:tcW w:w="850" w:type="dxa"/>
          </w:tcPr>
          <w:p w14:paraId="3A9B41A3"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-0.48</w:t>
            </w:r>
          </w:p>
        </w:tc>
        <w:tc>
          <w:tcPr>
            <w:tcW w:w="709" w:type="dxa"/>
          </w:tcPr>
          <w:p w14:paraId="7131E7A6"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13.96</w:t>
            </w:r>
          </w:p>
        </w:tc>
      </w:tr>
      <w:tr w:rsidR="00D22122" w:rsidRPr="00ED62DC" w14:paraId="186944E8" w14:textId="77777777" w:rsidTr="008F3B51">
        <w:trPr>
          <w:trHeight w:val="139"/>
        </w:trPr>
        <w:tc>
          <w:tcPr>
            <w:tcW w:w="988" w:type="dxa"/>
            <w:hideMark/>
          </w:tcPr>
          <w:p w14:paraId="2504CCC5"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spacing w:val="-2"/>
                <w:kern w:val="0"/>
                <w:sz w:val="19"/>
                <w:szCs w:val="19"/>
                <w:lang w:val="en-US" w:eastAsia="en-IN"/>
                <w14:ligatures w14:val="none"/>
              </w:rPr>
              <w:t>Coriander</w:t>
            </w:r>
          </w:p>
        </w:tc>
        <w:tc>
          <w:tcPr>
            <w:tcW w:w="850" w:type="dxa"/>
            <w:hideMark/>
          </w:tcPr>
          <w:p w14:paraId="44306959"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60211</w:t>
            </w:r>
          </w:p>
        </w:tc>
        <w:tc>
          <w:tcPr>
            <w:tcW w:w="851" w:type="dxa"/>
            <w:hideMark/>
          </w:tcPr>
          <w:p w14:paraId="104655A0"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680</w:t>
            </w:r>
          </w:p>
        </w:tc>
        <w:tc>
          <w:tcPr>
            <w:tcW w:w="850" w:type="dxa"/>
            <w:hideMark/>
          </w:tcPr>
          <w:p w14:paraId="754F89E1"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60323</w:t>
            </w:r>
          </w:p>
        </w:tc>
        <w:tc>
          <w:tcPr>
            <w:tcW w:w="732" w:type="dxa"/>
            <w:hideMark/>
          </w:tcPr>
          <w:p w14:paraId="076963C5"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633</w:t>
            </w:r>
          </w:p>
        </w:tc>
        <w:tc>
          <w:tcPr>
            <w:tcW w:w="827" w:type="dxa"/>
            <w:hideMark/>
          </w:tcPr>
          <w:p w14:paraId="712526C0"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-0.19</w:t>
            </w:r>
          </w:p>
        </w:tc>
        <w:tc>
          <w:tcPr>
            <w:tcW w:w="851" w:type="dxa"/>
            <w:hideMark/>
          </w:tcPr>
          <w:p w14:paraId="394C77B5"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7.34</w:t>
            </w:r>
          </w:p>
        </w:tc>
        <w:tc>
          <w:tcPr>
            <w:tcW w:w="850" w:type="dxa"/>
            <w:noWrap/>
            <w:hideMark/>
          </w:tcPr>
          <w:p w14:paraId="45991A38"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-24.91</w:t>
            </w:r>
          </w:p>
        </w:tc>
        <w:tc>
          <w:tcPr>
            <w:tcW w:w="851" w:type="dxa"/>
            <w:noWrap/>
            <w:hideMark/>
          </w:tcPr>
          <w:p w14:paraId="1D8FAA6A"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-3.17</w:t>
            </w:r>
          </w:p>
        </w:tc>
        <w:tc>
          <w:tcPr>
            <w:tcW w:w="850" w:type="dxa"/>
          </w:tcPr>
          <w:p w14:paraId="2B8976B5"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-26.14</w:t>
            </w:r>
          </w:p>
        </w:tc>
        <w:tc>
          <w:tcPr>
            <w:tcW w:w="709" w:type="dxa"/>
          </w:tcPr>
          <w:p w14:paraId="539BBB32"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7.46</w:t>
            </w:r>
          </w:p>
        </w:tc>
      </w:tr>
      <w:tr w:rsidR="00D22122" w:rsidRPr="00ED62DC" w14:paraId="32D8354A" w14:textId="77777777" w:rsidTr="008F3B51">
        <w:trPr>
          <w:trHeight w:val="217"/>
        </w:trPr>
        <w:tc>
          <w:tcPr>
            <w:tcW w:w="988" w:type="dxa"/>
            <w:hideMark/>
          </w:tcPr>
          <w:p w14:paraId="198546A9"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spacing w:val="-4"/>
                <w:kern w:val="0"/>
                <w:sz w:val="19"/>
                <w:szCs w:val="19"/>
                <w:lang w:val="en-US" w:eastAsia="en-IN"/>
                <w14:ligatures w14:val="none"/>
              </w:rPr>
              <w:t>Cumin</w:t>
            </w:r>
          </w:p>
        </w:tc>
        <w:tc>
          <w:tcPr>
            <w:tcW w:w="850" w:type="dxa"/>
            <w:hideMark/>
          </w:tcPr>
          <w:p w14:paraId="28F474B9"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2"/>
                <w:kern w:val="0"/>
                <w:sz w:val="20"/>
                <w:szCs w:val="20"/>
                <w:lang w:val="en-US" w:eastAsia="en-IN"/>
                <w14:ligatures w14:val="none"/>
              </w:rPr>
              <w:t>196800</w:t>
            </w:r>
          </w:p>
        </w:tc>
        <w:tc>
          <w:tcPr>
            <w:tcW w:w="851" w:type="dxa"/>
            <w:hideMark/>
          </w:tcPr>
          <w:p w14:paraId="452EA0F1"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4611</w:t>
            </w:r>
          </w:p>
        </w:tc>
        <w:tc>
          <w:tcPr>
            <w:tcW w:w="850" w:type="dxa"/>
            <w:hideMark/>
          </w:tcPr>
          <w:p w14:paraId="28E11F2F"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229881</w:t>
            </w:r>
          </w:p>
        </w:tc>
        <w:tc>
          <w:tcPr>
            <w:tcW w:w="732" w:type="dxa"/>
            <w:hideMark/>
          </w:tcPr>
          <w:p w14:paraId="5F761B8C"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6179</w:t>
            </w:r>
          </w:p>
        </w:tc>
        <w:tc>
          <w:tcPr>
            <w:tcW w:w="827" w:type="dxa"/>
            <w:hideMark/>
          </w:tcPr>
          <w:p w14:paraId="510BC305"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-14.39</w:t>
            </w:r>
          </w:p>
        </w:tc>
        <w:tc>
          <w:tcPr>
            <w:tcW w:w="851" w:type="dxa"/>
            <w:hideMark/>
          </w:tcPr>
          <w:p w14:paraId="4B4565A4"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-25.37</w:t>
            </w:r>
          </w:p>
        </w:tc>
        <w:tc>
          <w:tcPr>
            <w:tcW w:w="850" w:type="dxa"/>
            <w:noWrap/>
            <w:hideMark/>
          </w:tcPr>
          <w:p w14:paraId="405921B7"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-8.86</w:t>
            </w:r>
          </w:p>
        </w:tc>
        <w:tc>
          <w:tcPr>
            <w:tcW w:w="851" w:type="dxa"/>
            <w:noWrap/>
            <w:hideMark/>
          </w:tcPr>
          <w:p w14:paraId="366F3ADA"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-8.42</w:t>
            </w:r>
          </w:p>
        </w:tc>
        <w:tc>
          <w:tcPr>
            <w:tcW w:w="850" w:type="dxa"/>
          </w:tcPr>
          <w:p w14:paraId="6431A113"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-21.02</w:t>
            </w:r>
          </w:p>
        </w:tc>
        <w:tc>
          <w:tcPr>
            <w:tcW w:w="709" w:type="dxa"/>
          </w:tcPr>
          <w:p w14:paraId="5EFD349C"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-23.51</w:t>
            </w:r>
          </w:p>
        </w:tc>
      </w:tr>
      <w:tr w:rsidR="00D22122" w:rsidRPr="00ED62DC" w14:paraId="2BF6E20B" w14:textId="77777777" w:rsidTr="008F3B51">
        <w:trPr>
          <w:trHeight w:val="217"/>
        </w:trPr>
        <w:tc>
          <w:tcPr>
            <w:tcW w:w="988" w:type="dxa"/>
            <w:hideMark/>
          </w:tcPr>
          <w:p w14:paraId="2B8131F3"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spacing w:val="-2"/>
                <w:kern w:val="0"/>
                <w:sz w:val="19"/>
                <w:szCs w:val="19"/>
                <w:lang w:val="en-US" w:eastAsia="en-IN"/>
                <w14:ligatures w14:val="none"/>
              </w:rPr>
              <w:t>Celery</w:t>
            </w:r>
          </w:p>
        </w:tc>
        <w:tc>
          <w:tcPr>
            <w:tcW w:w="850" w:type="dxa"/>
            <w:hideMark/>
          </w:tcPr>
          <w:p w14:paraId="1665F77E"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5900</w:t>
            </w:r>
          </w:p>
        </w:tc>
        <w:tc>
          <w:tcPr>
            <w:tcW w:w="851" w:type="dxa"/>
            <w:hideMark/>
          </w:tcPr>
          <w:p w14:paraId="60D469CC"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106</w:t>
            </w:r>
          </w:p>
        </w:tc>
        <w:tc>
          <w:tcPr>
            <w:tcW w:w="850" w:type="dxa"/>
            <w:hideMark/>
          </w:tcPr>
          <w:p w14:paraId="4FEBACD2"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8473</w:t>
            </w:r>
          </w:p>
        </w:tc>
        <w:tc>
          <w:tcPr>
            <w:tcW w:w="732" w:type="dxa"/>
            <w:hideMark/>
          </w:tcPr>
          <w:p w14:paraId="1F51DBD8"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119</w:t>
            </w:r>
          </w:p>
        </w:tc>
        <w:tc>
          <w:tcPr>
            <w:tcW w:w="827" w:type="dxa"/>
            <w:hideMark/>
          </w:tcPr>
          <w:p w14:paraId="226BA1FF"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-30.37</w:t>
            </w:r>
          </w:p>
        </w:tc>
        <w:tc>
          <w:tcPr>
            <w:tcW w:w="851" w:type="dxa"/>
            <w:hideMark/>
          </w:tcPr>
          <w:p w14:paraId="163273C7"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-10.52</w:t>
            </w:r>
          </w:p>
        </w:tc>
        <w:tc>
          <w:tcPr>
            <w:tcW w:w="850" w:type="dxa"/>
            <w:noWrap/>
            <w:hideMark/>
          </w:tcPr>
          <w:p w14:paraId="28905F5A"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-15.09</w:t>
            </w:r>
          </w:p>
        </w:tc>
        <w:tc>
          <w:tcPr>
            <w:tcW w:w="851" w:type="dxa"/>
            <w:noWrap/>
            <w:hideMark/>
          </w:tcPr>
          <w:p w14:paraId="45A6D32A"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20.71</w:t>
            </w:r>
          </w:p>
        </w:tc>
        <w:tc>
          <w:tcPr>
            <w:tcW w:w="850" w:type="dxa"/>
          </w:tcPr>
          <w:p w14:paraId="2BFFD970"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-15.22</w:t>
            </w:r>
          </w:p>
        </w:tc>
        <w:tc>
          <w:tcPr>
            <w:tcW w:w="709" w:type="dxa"/>
          </w:tcPr>
          <w:p w14:paraId="114555BD"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12.49</w:t>
            </w:r>
          </w:p>
        </w:tc>
      </w:tr>
      <w:tr w:rsidR="00D22122" w:rsidRPr="00ED62DC" w14:paraId="0BBB8498" w14:textId="77777777" w:rsidTr="008F3B51">
        <w:trPr>
          <w:trHeight w:val="217"/>
        </w:trPr>
        <w:tc>
          <w:tcPr>
            <w:tcW w:w="988" w:type="dxa"/>
            <w:hideMark/>
          </w:tcPr>
          <w:p w14:paraId="394A842E"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spacing w:val="-2"/>
                <w:kern w:val="0"/>
                <w:sz w:val="19"/>
                <w:szCs w:val="19"/>
                <w:lang w:val="en-US" w:eastAsia="en-IN"/>
                <w14:ligatures w14:val="none"/>
              </w:rPr>
              <w:t>Fennel</w:t>
            </w:r>
          </w:p>
        </w:tc>
        <w:tc>
          <w:tcPr>
            <w:tcW w:w="850" w:type="dxa"/>
            <w:hideMark/>
          </w:tcPr>
          <w:p w14:paraId="7ABDBDC9"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33038</w:t>
            </w:r>
          </w:p>
        </w:tc>
        <w:tc>
          <w:tcPr>
            <w:tcW w:w="851" w:type="dxa"/>
            <w:hideMark/>
          </w:tcPr>
          <w:p w14:paraId="5C26C97F"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421</w:t>
            </w:r>
          </w:p>
        </w:tc>
        <w:tc>
          <w:tcPr>
            <w:tcW w:w="850" w:type="dxa"/>
            <w:hideMark/>
          </w:tcPr>
          <w:p w14:paraId="570CE22E"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76586</w:t>
            </w:r>
          </w:p>
        </w:tc>
        <w:tc>
          <w:tcPr>
            <w:tcW w:w="732" w:type="dxa"/>
            <w:hideMark/>
          </w:tcPr>
          <w:p w14:paraId="244DDEC5"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765</w:t>
            </w:r>
          </w:p>
        </w:tc>
        <w:tc>
          <w:tcPr>
            <w:tcW w:w="827" w:type="dxa"/>
            <w:hideMark/>
          </w:tcPr>
          <w:p w14:paraId="5A680029"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-56.86</w:t>
            </w:r>
          </w:p>
        </w:tc>
        <w:tc>
          <w:tcPr>
            <w:tcW w:w="851" w:type="dxa"/>
            <w:hideMark/>
          </w:tcPr>
          <w:p w14:paraId="62DB0181"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-44.97</w:t>
            </w:r>
          </w:p>
        </w:tc>
        <w:tc>
          <w:tcPr>
            <w:tcW w:w="850" w:type="dxa"/>
            <w:noWrap/>
            <w:hideMark/>
          </w:tcPr>
          <w:p w14:paraId="06D59F30"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2.65</w:t>
            </w:r>
          </w:p>
        </w:tc>
        <w:tc>
          <w:tcPr>
            <w:tcW w:w="851" w:type="dxa"/>
            <w:noWrap/>
            <w:hideMark/>
          </w:tcPr>
          <w:p w14:paraId="4C48A870"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6.60</w:t>
            </w:r>
          </w:p>
        </w:tc>
        <w:tc>
          <w:tcPr>
            <w:tcW w:w="850" w:type="dxa"/>
          </w:tcPr>
          <w:p w14:paraId="1A72ACC7"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1.61</w:t>
            </w:r>
          </w:p>
        </w:tc>
        <w:tc>
          <w:tcPr>
            <w:tcW w:w="709" w:type="dxa"/>
          </w:tcPr>
          <w:p w14:paraId="3C5B0AD6"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12.23</w:t>
            </w:r>
          </w:p>
        </w:tc>
      </w:tr>
      <w:tr w:rsidR="00D22122" w:rsidRPr="00ED62DC" w14:paraId="20C9127E" w14:textId="77777777" w:rsidTr="008F3B51">
        <w:trPr>
          <w:trHeight w:val="250"/>
        </w:trPr>
        <w:tc>
          <w:tcPr>
            <w:tcW w:w="988" w:type="dxa"/>
            <w:hideMark/>
          </w:tcPr>
          <w:p w14:paraId="33DA6E52"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spacing w:val="-2"/>
                <w:kern w:val="0"/>
                <w:sz w:val="19"/>
                <w:szCs w:val="19"/>
                <w:lang w:val="en-US" w:eastAsia="en-IN"/>
                <w14:ligatures w14:val="none"/>
              </w:rPr>
              <w:t>Fenugreek</w:t>
            </w:r>
          </w:p>
        </w:tc>
        <w:tc>
          <w:tcPr>
            <w:tcW w:w="850" w:type="dxa"/>
            <w:hideMark/>
          </w:tcPr>
          <w:p w14:paraId="5DC714FB"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47069</w:t>
            </w:r>
          </w:p>
        </w:tc>
        <w:tc>
          <w:tcPr>
            <w:tcW w:w="851" w:type="dxa"/>
            <w:hideMark/>
          </w:tcPr>
          <w:p w14:paraId="397CCF2E"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357</w:t>
            </w:r>
          </w:p>
        </w:tc>
        <w:tc>
          <w:tcPr>
            <w:tcW w:w="850" w:type="dxa"/>
            <w:hideMark/>
          </w:tcPr>
          <w:p w14:paraId="0424E411"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44516</w:t>
            </w:r>
          </w:p>
        </w:tc>
        <w:tc>
          <w:tcPr>
            <w:tcW w:w="732" w:type="dxa"/>
            <w:hideMark/>
          </w:tcPr>
          <w:p w14:paraId="164E172D"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366</w:t>
            </w:r>
          </w:p>
        </w:tc>
        <w:tc>
          <w:tcPr>
            <w:tcW w:w="827" w:type="dxa"/>
            <w:hideMark/>
          </w:tcPr>
          <w:p w14:paraId="4CDBD943"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5.74</w:t>
            </w:r>
          </w:p>
        </w:tc>
        <w:tc>
          <w:tcPr>
            <w:tcW w:w="851" w:type="dxa"/>
            <w:hideMark/>
          </w:tcPr>
          <w:p w14:paraId="292AB6DC"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-2.39</w:t>
            </w:r>
          </w:p>
        </w:tc>
        <w:tc>
          <w:tcPr>
            <w:tcW w:w="850" w:type="dxa"/>
            <w:noWrap/>
            <w:hideMark/>
          </w:tcPr>
          <w:p w14:paraId="66B5CF64"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-25.24</w:t>
            </w:r>
          </w:p>
        </w:tc>
        <w:tc>
          <w:tcPr>
            <w:tcW w:w="851" w:type="dxa"/>
            <w:noWrap/>
            <w:hideMark/>
          </w:tcPr>
          <w:p w14:paraId="67E21561"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-22.97</w:t>
            </w:r>
          </w:p>
        </w:tc>
        <w:tc>
          <w:tcPr>
            <w:tcW w:w="850" w:type="dxa"/>
          </w:tcPr>
          <w:p w14:paraId="675B1336"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-32.86</w:t>
            </w:r>
          </w:p>
        </w:tc>
        <w:tc>
          <w:tcPr>
            <w:tcW w:w="709" w:type="dxa"/>
          </w:tcPr>
          <w:p w14:paraId="2BFCEAD1"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-19.74</w:t>
            </w:r>
          </w:p>
        </w:tc>
      </w:tr>
      <w:tr w:rsidR="00D22122" w:rsidRPr="00ED62DC" w14:paraId="174DCB6D" w14:textId="77777777" w:rsidTr="008F3B51">
        <w:trPr>
          <w:trHeight w:val="267"/>
        </w:trPr>
        <w:tc>
          <w:tcPr>
            <w:tcW w:w="988" w:type="dxa"/>
            <w:hideMark/>
          </w:tcPr>
          <w:p w14:paraId="5CD738F3"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val="en-US" w:eastAsia="en-IN"/>
                <w14:ligatures w14:val="none"/>
              </w:rPr>
              <w:t>Other seeds*</w:t>
            </w:r>
          </w:p>
        </w:tc>
        <w:tc>
          <w:tcPr>
            <w:tcW w:w="850" w:type="dxa"/>
            <w:hideMark/>
          </w:tcPr>
          <w:p w14:paraId="47B09F90"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46141</w:t>
            </w:r>
          </w:p>
        </w:tc>
        <w:tc>
          <w:tcPr>
            <w:tcW w:w="851" w:type="dxa"/>
            <w:hideMark/>
          </w:tcPr>
          <w:p w14:paraId="5DE6369F"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423</w:t>
            </w:r>
          </w:p>
        </w:tc>
        <w:tc>
          <w:tcPr>
            <w:tcW w:w="850" w:type="dxa"/>
            <w:hideMark/>
          </w:tcPr>
          <w:p w14:paraId="63CA4D66"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35109</w:t>
            </w:r>
          </w:p>
        </w:tc>
        <w:tc>
          <w:tcPr>
            <w:tcW w:w="732" w:type="dxa"/>
            <w:hideMark/>
          </w:tcPr>
          <w:p w14:paraId="63082183"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350</w:t>
            </w:r>
          </w:p>
        </w:tc>
        <w:tc>
          <w:tcPr>
            <w:tcW w:w="827" w:type="dxa"/>
            <w:hideMark/>
          </w:tcPr>
          <w:p w14:paraId="49FA882A"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31.42</w:t>
            </w:r>
          </w:p>
        </w:tc>
        <w:tc>
          <w:tcPr>
            <w:tcW w:w="851" w:type="dxa"/>
            <w:hideMark/>
          </w:tcPr>
          <w:p w14:paraId="2B468A7A"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20.96</w:t>
            </w:r>
          </w:p>
        </w:tc>
        <w:tc>
          <w:tcPr>
            <w:tcW w:w="850" w:type="dxa"/>
            <w:noWrap/>
            <w:hideMark/>
          </w:tcPr>
          <w:p w14:paraId="4C3B2E48"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56.79</w:t>
            </w:r>
          </w:p>
        </w:tc>
        <w:tc>
          <w:tcPr>
            <w:tcW w:w="851" w:type="dxa"/>
            <w:noWrap/>
            <w:hideMark/>
          </w:tcPr>
          <w:p w14:paraId="156B5055"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49.88</w:t>
            </w:r>
          </w:p>
        </w:tc>
        <w:tc>
          <w:tcPr>
            <w:tcW w:w="850" w:type="dxa"/>
          </w:tcPr>
          <w:p w14:paraId="50F58DFE"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18.60</w:t>
            </w:r>
          </w:p>
        </w:tc>
        <w:tc>
          <w:tcPr>
            <w:tcW w:w="709" w:type="dxa"/>
          </w:tcPr>
          <w:p w14:paraId="77551D31"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11.79</w:t>
            </w:r>
          </w:p>
        </w:tc>
      </w:tr>
      <w:tr w:rsidR="00D22122" w:rsidRPr="00ED62DC" w14:paraId="76CD1A7B" w14:textId="77777777" w:rsidTr="008F3B51">
        <w:trPr>
          <w:trHeight w:val="217"/>
        </w:trPr>
        <w:tc>
          <w:tcPr>
            <w:tcW w:w="988" w:type="dxa"/>
            <w:hideMark/>
          </w:tcPr>
          <w:p w14:paraId="1E81DA5C"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spacing w:val="-2"/>
                <w:kern w:val="0"/>
                <w:sz w:val="19"/>
                <w:szCs w:val="19"/>
                <w:lang w:val="en-US" w:eastAsia="en-IN"/>
                <w14:ligatures w14:val="none"/>
              </w:rPr>
              <w:t>Garlic</w:t>
            </w:r>
          </w:p>
        </w:tc>
        <w:tc>
          <w:tcPr>
            <w:tcW w:w="850" w:type="dxa"/>
            <w:hideMark/>
          </w:tcPr>
          <w:p w14:paraId="76A2B304"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43240</w:t>
            </w:r>
          </w:p>
        </w:tc>
        <w:tc>
          <w:tcPr>
            <w:tcW w:w="851" w:type="dxa"/>
            <w:hideMark/>
          </w:tcPr>
          <w:p w14:paraId="5ABA981D"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528</w:t>
            </w:r>
          </w:p>
        </w:tc>
        <w:tc>
          <w:tcPr>
            <w:tcW w:w="850" w:type="dxa"/>
            <w:hideMark/>
          </w:tcPr>
          <w:p w14:paraId="436A6D85"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43959</w:t>
            </w:r>
          </w:p>
        </w:tc>
        <w:tc>
          <w:tcPr>
            <w:tcW w:w="732" w:type="dxa"/>
            <w:hideMark/>
          </w:tcPr>
          <w:p w14:paraId="64F8711D"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538</w:t>
            </w:r>
          </w:p>
        </w:tc>
        <w:tc>
          <w:tcPr>
            <w:tcW w:w="827" w:type="dxa"/>
            <w:hideMark/>
          </w:tcPr>
          <w:p w14:paraId="2A1851A9"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-1.64</w:t>
            </w:r>
          </w:p>
        </w:tc>
        <w:tc>
          <w:tcPr>
            <w:tcW w:w="851" w:type="dxa"/>
            <w:hideMark/>
          </w:tcPr>
          <w:p w14:paraId="020177FF"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-1.92</w:t>
            </w:r>
          </w:p>
        </w:tc>
        <w:tc>
          <w:tcPr>
            <w:tcW w:w="850" w:type="dxa"/>
            <w:noWrap/>
            <w:hideMark/>
          </w:tcPr>
          <w:p w14:paraId="0D651C93"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-59.32</w:t>
            </w:r>
          </w:p>
        </w:tc>
        <w:tc>
          <w:tcPr>
            <w:tcW w:w="851" w:type="dxa"/>
            <w:noWrap/>
            <w:hideMark/>
          </w:tcPr>
          <w:p w14:paraId="7B05E9F3"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-46.00</w:t>
            </w:r>
          </w:p>
        </w:tc>
        <w:tc>
          <w:tcPr>
            <w:tcW w:w="850" w:type="dxa"/>
          </w:tcPr>
          <w:p w14:paraId="2CED091D"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-24.28</w:t>
            </w:r>
          </w:p>
        </w:tc>
        <w:tc>
          <w:tcPr>
            <w:tcW w:w="709" w:type="dxa"/>
          </w:tcPr>
          <w:p w14:paraId="1C835E80"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13.49</w:t>
            </w:r>
          </w:p>
        </w:tc>
      </w:tr>
      <w:tr w:rsidR="00D22122" w:rsidRPr="00ED62DC" w14:paraId="538CD2C0" w14:textId="77777777" w:rsidTr="008F3B51">
        <w:trPr>
          <w:trHeight w:val="105"/>
        </w:trPr>
        <w:tc>
          <w:tcPr>
            <w:tcW w:w="988" w:type="dxa"/>
            <w:hideMark/>
          </w:tcPr>
          <w:p w14:paraId="357DD38D"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spacing w:val="-2"/>
                <w:kern w:val="0"/>
                <w:sz w:val="19"/>
                <w:szCs w:val="19"/>
                <w:lang w:val="en-US" w:eastAsia="en-IN"/>
                <w14:ligatures w14:val="none"/>
              </w:rPr>
              <w:t>Tamarind</w:t>
            </w:r>
          </w:p>
        </w:tc>
        <w:tc>
          <w:tcPr>
            <w:tcW w:w="850" w:type="dxa"/>
            <w:hideMark/>
          </w:tcPr>
          <w:p w14:paraId="37298D3C"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53172</w:t>
            </w:r>
          </w:p>
        </w:tc>
        <w:tc>
          <w:tcPr>
            <w:tcW w:w="851" w:type="dxa"/>
            <w:hideMark/>
          </w:tcPr>
          <w:p w14:paraId="501BF570"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449</w:t>
            </w:r>
          </w:p>
        </w:tc>
        <w:tc>
          <w:tcPr>
            <w:tcW w:w="850" w:type="dxa"/>
            <w:hideMark/>
          </w:tcPr>
          <w:p w14:paraId="5BA39DD5"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43986</w:t>
            </w:r>
          </w:p>
        </w:tc>
        <w:tc>
          <w:tcPr>
            <w:tcW w:w="732" w:type="dxa"/>
            <w:hideMark/>
          </w:tcPr>
          <w:p w14:paraId="2EEACD8C"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303</w:t>
            </w:r>
          </w:p>
        </w:tc>
        <w:tc>
          <w:tcPr>
            <w:tcW w:w="827" w:type="dxa"/>
            <w:hideMark/>
          </w:tcPr>
          <w:p w14:paraId="00DC2D2F"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20.88</w:t>
            </w:r>
          </w:p>
        </w:tc>
        <w:tc>
          <w:tcPr>
            <w:tcW w:w="851" w:type="dxa"/>
            <w:hideMark/>
          </w:tcPr>
          <w:p w14:paraId="19BE15D4"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47.91</w:t>
            </w:r>
          </w:p>
        </w:tc>
        <w:tc>
          <w:tcPr>
            <w:tcW w:w="850" w:type="dxa"/>
            <w:noWrap/>
            <w:hideMark/>
          </w:tcPr>
          <w:p w14:paraId="2C5830DF"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-31.53</w:t>
            </w:r>
          </w:p>
        </w:tc>
        <w:tc>
          <w:tcPr>
            <w:tcW w:w="851" w:type="dxa"/>
            <w:noWrap/>
            <w:hideMark/>
          </w:tcPr>
          <w:p w14:paraId="4E57AB99"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-14.98</w:t>
            </w:r>
          </w:p>
        </w:tc>
        <w:tc>
          <w:tcPr>
            <w:tcW w:w="850" w:type="dxa"/>
          </w:tcPr>
          <w:p w14:paraId="145EE0D8"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13.56</w:t>
            </w:r>
          </w:p>
        </w:tc>
        <w:tc>
          <w:tcPr>
            <w:tcW w:w="709" w:type="dxa"/>
          </w:tcPr>
          <w:p w14:paraId="16E46895"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36.19</w:t>
            </w:r>
          </w:p>
        </w:tc>
      </w:tr>
      <w:tr w:rsidR="00D22122" w:rsidRPr="00ED62DC" w14:paraId="792886A8" w14:textId="77777777" w:rsidTr="008F3B51">
        <w:trPr>
          <w:trHeight w:val="154"/>
        </w:trPr>
        <w:tc>
          <w:tcPr>
            <w:tcW w:w="988" w:type="dxa"/>
            <w:hideMark/>
          </w:tcPr>
          <w:p w14:paraId="5C7DF98C"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spacing w:val="-2"/>
                <w:kern w:val="0"/>
                <w:sz w:val="19"/>
                <w:szCs w:val="19"/>
                <w:lang w:val="en-US" w:eastAsia="en-IN"/>
                <w14:ligatures w14:val="none"/>
              </w:rPr>
              <w:t>Nutmeg &amp; Mace</w:t>
            </w:r>
          </w:p>
        </w:tc>
        <w:tc>
          <w:tcPr>
            <w:tcW w:w="850" w:type="dxa"/>
            <w:hideMark/>
          </w:tcPr>
          <w:p w14:paraId="67DB5BFB"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4608</w:t>
            </w:r>
          </w:p>
        </w:tc>
        <w:tc>
          <w:tcPr>
            <w:tcW w:w="851" w:type="dxa"/>
            <w:hideMark/>
          </w:tcPr>
          <w:p w14:paraId="65648A24"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271</w:t>
            </w:r>
          </w:p>
        </w:tc>
        <w:tc>
          <w:tcPr>
            <w:tcW w:w="850" w:type="dxa"/>
            <w:hideMark/>
          </w:tcPr>
          <w:p w14:paraId="5D147EBD"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4756</w:t>
            </w:r>
          </w:p>
        </w:tc>
        <w:tc>
          <w:tcPr>
            <w:tcW w:w="732" w:type="dxa"/>
            <w:hideMark/>
          </w:tcPr>
          <w:p w14:paraId="764EF591"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252</w:t>
            </w:r>
          </w:p>
        </w:tc>
        <w:tc>
          <w:tcPr>
            <w:tcW w:w="827" w:type="dxa"/>
            <w:hideMark/>
          </w:tcPr>
          <w:p w14:paraId="4E2FC4DE"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-3.11</w:t>
            </w:r>
          </w:p>
        </w:tc>
        <w:tc>
          <w:tcPr>
            <w:tcW w:w="851" w:type="dxa"/>
            <w:hideMark/>
          </w:tcPr>
          <w:p w14:paraId="19A068F8"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7.64</w:t>
            </w:r>
          </w:p>
        </w:tc>
        <w:tc>
          <w:tcPr>
            <w:tcW w:w="850" w:type="dxa"/>
            <w:noWrap/>
            <w:hideMark/>
          </w:tcPr>
          <w:p w14:paraId="39E7B049"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12.37</w:t>
            </w:r>
          </w:p>
        </w:tc>
        <w:tc>
          <w:tcPr>
            <w:tcW w:w="851" w:type="dxa"/>
            <w:noWrap/>
            <w:hideMark/>
          </w:tcPr>
          <w:p w14:paraId="0862B139"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15.96</w:t>
            </w:r>
          </w:p>
        </w:tc>
        <w:tc>
          <w:tcPr>
            <w:tcW w:w="850" w:type="dxa"/>
          </w:tcPr>
          <w:p w14:paraId="4D357CDF"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-25.23</w:t>
            </w:r>
          </w:p>
        </w:tc>
        <w:tc>
          <w:tcPr>
            <w:tcW w:w="709" w:type="dxa"/>
          </w:tcPr>
          <w:p w14:paraId="18045473"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-21.55</w:t>
            </w:r>
          </w:p>
        </w:tc>
      </w:tr>
      <w:tr w:rsidR="00D22122" w:rsidRPr="00ED62DC" w14:paraId="1AB2BEBF" w14:textId="77777777" w:rsidTr="008F3B51">
        <w:trPr>
          <w:trHeight w:val="413"/>
        </w:trPr>
        <w:tc>
          <w:tcPr>
            <w:tcW w:w="988" w:type="dxa"/>
            <w:hideMark/>
          </w:tcPr>
          <w:p w14:paraId="22C2D4CB"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val="en-US" w:eastAsia="en-IN"/>
                <w14:ligatures w14:val="none"/>
              </w:rPr>
              <w:t>Curry powder/paste</w:t>
            </w:r>
          </w:p>
        </w:tc>
        <w:tc>
          <w:tcPr>
            <w:tcW w:w="850" w:type="dxa"/>
            <w:hideMark/>
          </w:tcPr>
          <w:p w14:paraId="276A29AB"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2"/>
                <w:kern w:val="0"/>
                <w:sz w:val="20"/>
                <w:szCs w:val="20"/>
                <w:lang w:val="en-US" w:eastAsia="en-IN"/>
                <w14:ligatures w14:val="none"/>
              </w:rPr>
              <w:t>104765</w:t>
            </w:r>
          </w:p>
        </w:tc>
        <w:tc>
          <w:tcPr>
            <w:tcW w:w="851" w:type="dxa"/>
            <w:hideMark/>
          </w:tcPr>
          <w:p w14:paraId="2ECD4842"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2296</w:t>
            </w:r>
          </w:p>
        </w:tc>
        <w:tc>
          <w:tcPr>
            <w:tcW w:w="850" w:type="dxa"/>
            <w:hideMark/>
          </w:tcPr>
          <w:p w14:paraId="1459DC3A"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77151</w:t>
            </w:r>
          </w:p>
        </w:tc>
        <w:tc>
          <w:tcPr>
            <w:tcW w:w="732" w:type="dxa"/>
            <w:hideMark/>
          </w:tcPr>
          <w:p w14:paraId="56626526"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2095</w:t>
            </w:r>
          </w:p>
        </w:tc>
        <w:tc>
          <w:tcPr>
            <w:tcW w:w="827" w:type="dxa"/>
            <w:hideMark/>
          </w:tcPr>
          <w:p w14:paraId="17CF58F8"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35.79</w:t>
            </w:r>
          </w:p>
        </w:tc>
        <w:tc>
          <w:tcPr>
            <w:tcW w:w="851" w:type="dxa"/>
            <w:hideMark/>
          </w:tcPr>
          <w:p w14:paraId="0894E6BB"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9.60</w:t>
            </w:r>
          </w:p>
        </w:tc>
        <w:tc>
          <w:tcPr>
            <w:tcW w:w="850" w:type="dxa"/>
            <w:noWrap/>
            <w:hideMark/>
          </w:tcPr>
          <w:p w14:paraId="53645618"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20.70</w:t>
            </w:r>
          </w:p>
        </w:tc>
        <w:tc>
          <w:tcPr>
            <w:tcW w:w="851" w:type="dxa"/>
            <w:noWrap/>
            <w:hideMark/>
          </w:tcPr>
          <w:p w14:paraId="4B47BF78"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4.47</w:t>
            </w:r>
          </w:p>
        </w:tc>
        <w:tc>
          <w:tcPr>
            <w:tcW w:w="850" w:type="dxa"/>
          </w:tcPr>
          <w:p w14:paraId="1A8935E3"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-21.50</w:t>
            </w:r>
          </w:p>
        </w:tc>
        <w:tc>
          <w:tcPr>
            <w:tcW w:w="709" w:type="dxa"/>
          </w:tcPr>
          <w:p w14:paraId="1CE51065"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7.40</w:t>
            </w:r>
          </w:p>
        </w:tc>
      </w:tr>
      <w:tr w:rsidR="00D22122" w:rsidRPr="00ED62DC" w14:paraId="0B1168A0" w14:textId="77777777" w:rsidTr="008F3B51">
        <w:trPr>
          <w:trHeight w:val="363"/>
        </w:trPr>
        <w:tc>
          <w:tcPr>
            <w:tcW w:w="988" w:type="dxa"/>
            <w:hideMark/>
          </w:tcPr>
          <w:p w14:paraId="564C66DF"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val="en-US" w:eastAsia="en-IN"/>
                <w14:ligatures w14:val="none"/>
              </w:rPr>
              <w:t>Spices oils&amp; oleoresins</w:t>
            </w:r>
          </w:p>
        </w:tc>
        <w:tc>
          <w:tcPr>
            <w:tcW w:w="850" w:type="dxa"/>
            <w:hideMark/>
          </w:tcPr>
          <w:p w14:paraId="4C136FC6"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20730</w:t>
            </w:r>
          </w:p>
        </w:tc>
        <w:tc>
          <w:tcPr>
            <w:tcW w:w="851" w:type="dxa"/>
            <w:hideMark/>
          </w:tcPr>
          <w:p w14:paraId="20B3D4F3"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4671</w:t>
            </w:r>
          </w:p>
        </w:tc>
        <w:tc>
          <w:tcPr>
            <w:tcW w:w="850" w:type="dxa"/>
            <w:hideMark/>
          </w:tcPr>
          <w:p w14:paraId="2DFD35D6"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20940</w:t>
            </w:r>
          </w:p>
        </w:tc>
        <w:tc>
          <w:tcPr>
            <w:tcW w:w="732" w:type="dxa"/>
            <w:hideMark/>
          </w:tcPr>
          <w:p w14:paraId="66071820"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4533</w:t>
            </w:r>
          </w:p>
        </w:tc>
        <w:tc>
          <w:tcPr>
            <w:tcW w:w="827" w:type="dxa"/>
            <w:hideMark/>
          </w:tcPr>
          <w:p w14:paraId="3935651C"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-1.00</w:t>
            </w:r>
          </w:p>
        </w:tc>
        <w:tc>
          <w:tcPr>
            <w:tcW w:w="851" w:type="dxa"/>
            <w:hideMark/>
          </w:tcPr>
          <w:p w14:paraId="5074A2B6"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3.03</w:t>
            </w:r>
          </w:p>
        </w:tc>
        <w:tc>
          <w:tcPr>
            <w:tcW w:w="850" w:type="dxa"/>
            <w:noWrap/>
            <w:hideMark/>
          </w:tcPr>
          <w:p w14:paraId="2592FB28"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10.32</w:t>
            </w:r>
          </w:p>
        </w:tc>
        <w:tc>
          <w:tcPr>
            <w:tcW w:w="851" w:type="dxa"/>
            <w:noWrap/>
            <w:hideMark/>
          </w:tcPr>
          <w:p w14:paraId="12B9FB9C"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4.57</w:t>
            </w:r>
          </w:p>
        </w:tc>
        <w:tc>
          <w:tcPr>
            <w:tcW w:w="850" w:type="dxa"/>
          </w:tcPr>
          <w:p w14:paraId="03F64D7E"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20.82</w:t>
            </w:r>
          </w:p>
        </w:tc>
        <w:tc>
          <w:tcPr>
            <w:tcW w:w="709" w:type="dxa"/>
          </w:tcPr>
          <w:p w14:paraId="1B0788A2"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24.80</w:t>
            </w:r>
          </w:p>
        </w:tc>
      </w:tr>
      <w:tr w:rsidR="00D22122" w:rsidRPr="00ED62DC" w14:paraId="794BAEE7" w14:textId="77777777" w:rsidTr="008F3B51">
        <w:trPr>
          <w:trHeight w:val="185"/>
        </w:trPr>
        <w:tc>
          <w:tcPr>
            <w:tcW w:w="988" w:type="dxa"/>
            <w:hideMark/>
          </w:tcPr>
          <w:p w14:paraId="35E77753"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val="en-US" w:eastAsia="en-IN"/>
                <w14:ligatures w14:val="none"/>
              </w:rPr>
              <w:t>Mint products**</w:t>
            </w:r>
          </w:p>
        </w:tc>
        <w:tc>
          <w:tcPr>
            <w:tcW w:w="850" w:type="dxa"/>
            <w:hideMark/>
          </w:tcPr>
          <w:p w14:paraId="0BD983A5"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23944</w:t>
            </w:r>
          </w:p>
        </w:tc>
        <w:tc>
          <w:tcPr>
            <w:tcW w:w="851" w:type="dxa"/>
            <w:hideMark/>
          </w:tcPr>
          <w:p w14:paraId="329C1846"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3135</w:t>
            </w:r>
          </w:p>
        </w:tc>
        <w:tc>
          <w:tcPr>
            <w:tcW w:w="850" w:type="dxa"/>
            <w:hideMark/>
          </w:tcPr>
          <w:p w14:paraId="295C0C46"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27283</w:t>
            </w:r>
          </w:p>
        </w:tc>
        <w:tc>
          <w:tcPr>
            <w:tcW w:w="732" w:type="dxa"/>
            <w:hideMark/>
          </w:tcPr>
          <w:p w14:paraId="4B4FA0E9"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3536</w:t>
            </w:r>
          </w:p>
        </w:tc>
        <w:tc>
          <w:tcPr>
            <w:tcW w:w="827" w:type="dxa"/>
            <w:hideMark/>
          </w:tcPr>
          <w:p w14:paraId="48DCEF6C"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-12.24</w:t>
            </w:r>
          </w:p>
        </w:tc>
        <w:tc>
          <w:tcPr>
            <w:tcW w:w="851" w:type="dxa"/>
            <w:hideMark/>
          </w:tcPr>
          <w:p w14:paraId="5ED9E7D6"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-11.33</w:t>
            </w:r>
          </w:p>
        </w:tc>
        <w:tc>
          <w:tcPr>
            <w:tcW w:w="850" w:type="dxa"/>
            <w:noWrap/>
            <w:hideMark/>
          </w:tcPr>
          <w:p w14:paraId="689FE245"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-8.83</w:t>
            </w:r>
          </w:p>
        </w:tc>
        <w:tc>
          <w:tcPr>
            <w:tcW w:w="851" w:type="dxa"/>
            <w:noWrap/>
            <w:hideMark/>
          </w:tcPr>
          <w:p w14:paraId="58B84FA0"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-12.64</w:t>
            </w:r>
          </w:p>
        </w:tc>
        <w:tc>
          <w:tcPr>
            <w:tcW w:w="850" w:type="dxa"/>
          </w:tcPr>
          <w:p w14:paraId="31D38FCF"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24.37</w:t>
            </w:r>
          </w:p>
        </w:tc>
        <w:tc>
          <w:tcPr>
            <w:tcW w:w="709" w:type="dxa"/>
          </w:tcPr>
          <w:p w14:paraId="1C40B425"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32.14</w:t>
            </w:r>
          </w:p>
        </w:tc>
      </w:tr>
      <w:tr w:rsidR="00D22122" w:rsidRPr="00ED62DC" w14:paraId="58F10130" w14:textId="77777777" w:rsidTr="008F3B51">
        <w:trPr>
          <w:trHeight w:val="217"/>
        </w:trPr>
        <w:tc>
          <w:tcPr>
            <w:tcW w:w="988" w:type="dxa"/>
            <w:hideMark/>
          </w:tcPr>
          <w:p w14:paraId="6781CE59"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val="en-US" w:eastAsia="en-IN"/>
                <w14:ligatures w14:val="none"/>
              </w:rPr>
              <w:t>Other spices***</w:t>
            </w:r>
          </w:p>
        </w:tc>
        <w:tc>
          <w:tcPr>
            <w:tcW w:w="850" w:type="dxa"/>
            <w:hideMark/>
          </w:tcPr>
          <w:p w14:paraId="79D6250A"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52501</w:t>
            </w:r>
          </w:p>
        </w:tc>
        <w:tc>
          <w:tcPr>
            <w:tcW w:w="851" w:type="dxa"/>
            <w:hideMark/>
          </w:tcPr>
          <w:p w14:paraId="2757E260"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1443</w:t>
            </w:r>
          </w:p>
        </w:tc>
        <w:tc>
          <w:tcPr>
            <w:tcW w:w="850" w:type="dxa"/>
            <w:hideMark/>
          </w:tcPr>
          <w:p w14:paraId="71944C85"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74185</w:t>
            </w:r>
          </w:p>
        </w:tc>
        <w:tc>
          <w:tcPr>
            <w:tcW w:w="732" w:type="dxa"/>
            <w:hideMark/>
          </w:tcPr>
          <w:p w14:paraId="61488DBD"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2121</w:t>
            </w:r>
          </w:p>
        </w:tc>
        <w:tc>
          <w:tcPr>
            <w:tcW w:w="827" w:type="dxa"/>
            <w:hideMark/>
          </w:tcPr>
          <w:p w14:paraId="37727C94"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-29.23</w:t>
            </w:r>
          </w:p>
        </w:tc>
        <w:tc>
          <w:tcPr>
            <w:tcW w:w="851" w:type="dxa"/>
            <w:hideMark/>
          </w:tcPr>
          <w:p w14:paraId="3E220957"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-31.97</w:t>
            </w:r>
          </w:p>
        </w:tc>
        <w:tc>
          <w:tcPr>
            <w:tcW w:w="850" w:type="dxa"/>
            <w:noWrap/>
            <w:hideMark/>
          </w:tcPr>
          <w:p w14:paraId="3ACD24B3"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-58.64</w:t>
            </w:r>
          </w:p>
        </w:tc>
        <w:tc>
          <w:tcPr>
            <w:tcW w:w="851" w:type="dxa"/>
            <w:noWrap/>
            <w:hideMark/>
          </w:tcPr>
          <w:p w14:paraId="6B05B58D"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-70.00</w:t>
            </w:r>
          </w:p>
        </w:tc>
        <w:tc>
          <w:tcPr>
            <w:tcW w:w="850" w:type="dxa"/>
          </w:tcPr>
          <w:p w14:paraId="5512C9D9"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-12.05</w:t>
            </w:r>
          </w:p>
        </w:tc>
        <w:tc>
          <w:tcPr>
            <w:tcW w:w="709" w:type="dxa"/>
          </w:tcPr>
          <w:p w14:paraId="4CD66BC3"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11.72</w:t>
            </w:r>
          </w:p>
        </w:tc>
      </w:tr>
      <w:tr w:rsidR="00D22122" w:rsidRPr="00ED62DC" w14:paraId="762BD902" w14:textId="77777777" w:rsidTr="008F3B51">
        <w:trPr>
          <w:trHeight w:val="181"/>
        </w:trPr>
        <w:tc>
          <w:tcPr>
            <w:tcW w:w="988" w:type="dxa"/>
            <w:tcBorders>
              <w:bottom w:val="single" w:sz="4" w:space="0" w:color="auto"/>
            </w:tcBorders>
            <w:hideMark/>
          </w:tcPr>
          <w:p w14:paraId="30C7771D"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val="en-US" w:eastAsia="en-IN"/>
                <w14:ligatures w14:val="none"/>
              </w:rPr>
              <w:t>Grand Total</w:t>
            </w:r>
          </w:p>
        </w:tc>
        <w:tc>
          <w:tcPr>
            <w:tcW w:w="850" w:type="dxa"/>
            <w:tcBorders>
              <w:bottom w:val="single" w:sz="4" w:space="0" w:color="auto"/>
            </w:tcBorders>
            <w:hideMark/>
          </w:tcPr>
          <w:p w14:paraId="6F3163DB" w14:textId="77777777" w:rsidR="00D22122" w:rsidRPr="00ED62DC" w:rsidRDefault="00D22122" w:rsidP="009D0D80">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spacing w:val="-2"/>
                <w:kern w:val="0"/>
                <w:sz w:val="20"/>
                <w:szCs w:val="20"/>
                <w:lang w:val="en-US" w:eastAsia="en-IN"/>
                <w14:ligatures w14:val="none"/>
              </w:rPr>
              <w:t>1734562</w:t>
            </w:r>
          </w:p>
        </w:tc>
        <w:tc>
          <w:tcPr>
            <w:tcW w:w="851" w:type="dxa"/>
            <w:tcBorders>
              <w:bottom w:val="single" w:sz="4" w:space="0" w:color="auto"/>
            </w:tcBorders>
            <w:hideMark/>
          </w:tcPr>
          <w:p w14:paraId="54D0BDF8"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39140</w:t>
            </w:r>
          </w:p>
        </w:tc>
        <w:tc>
          <w:tcPr>
            <w:tcW w:w="850" w:type="dxa"/>
            <w:tcBorders>
              <w:bottom w:val="single" w:sz="4" w:space="0" w:color="auto"/>
            </w:tcBorders>
            <w:hideMark/>
          </w:tcPr>
          <w:p w14:paraId="6714C535"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1799267</w:t>
            </w:r>
          </w:p>
        </w:tc>
        <w:tc>
          <w:tcPr>
            <w:tcW w:w="732" w:type="dxa"/>
            <w:tcBorders>
              <w:bottom w:val="single" w:sz="4" w:space="0" w:color="auto"/>
            </w:tcBorders>
            <w:hideMark/>
          </w:tcPr>
          <w:p w14:paraId="22DE7499"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hAnsi="Times New Roman" w:cs="Times New Roman"/>
                <w:color w:val="000000" w:themeColor="text1"/>
                <w:sz w:val="20"/>
                <w:szCs w:val="20"/>
                <w:lang w:val="en-US"/>
              </w:rPr>
              <w:t>39994</w:t>
            </w:r>
          </w:p>
        </w:tc>
        <w:tc>
          <w:tcPr>
            <w:tcW w:w="827" w:type="dxa"/>
            <w:tcBorders>
              <w:bottom w:val="single" w:sz="4" w:space="0" w:color="auto"/>
            </w:tcBorders>
            <w:hideMark/>
          </w:tcPr>
          <w:p w14:paraId="4B2BCC1A"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-3.60</w:t>
            </w:r>
          </w:p>
        </w:tc>
        <w:tc>
          <w:tcPr>
            <w:tcW w:w="851" w:type="dxa"/>
            <w:tcBorders>
              <w:bottom w:val="single" w:sz="4" w:space="0" w:color="auto"/>
            </w:tcBorders>
            <w:hideMark/>
          </w:tcPr>
          <w:p w14:paraId="6A41D5F6"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-2.14</w:t>
            </w:r>
          </w:p>
        </w:tc>
        <w:tc>
          <w:tcPr>
            <w:tcW w:w="850" w:type="dxa"/>
            <w:tcBorders>
              <w:bottom w:val="single" w:sz="4" w:space="0" w:color="auto"/>
            </w:tcBorders>
            <w:noWrap/>
            <w:hideMark/>
          </w:tcPr>
          <w:p w14:paraId="7ABA3A5F"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-37.80</w:t>
            </w:r>
          </w:p>
        </w:tc>
        <w:tc>
          <w:tcPr>
            <w:tcW w:w="851" w:type="dxa"/>
            <w:tcBorders>
              <w:bottom w:val="single" w:sz="4" w:space="0" w:color="auto"/>
            </w:tcBorders>
            <w:noWrap/>
            <w:hideMark/>
          </w:tcPr>
          <w:p w14:paraId="555E3FF4"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-20.82</w:t>
            </w:r>
          </w:p>
        </w:tc>
        <w:tc>
          <w:tcPr>
            <w:tcW w:w="850" w:type="dxa"/>
            <w:tcBorders>
              <w:bottom w:val="single" w:sz="4" w:space="0" w:color="auto"/>
            </w:tcBorders>
          </w:tcPr>
          <w:p w14:paraId="1BC84DC8"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-26.75</w:t>
            </w:r>
          </w:p>
        </w:tc>
        <w:tc>
          <w:tcPr>
            <w:tcW w:w="709" w:type="dxa"/>
            <w:tcBorders>
              <w:bottom w:val="single" w:sz="4" w:space="0" w:color="auto"/>
            </w:tcBorders>
          </w:tcPr>
          <w:p w14:paraId="6E5CB8D6" w14:textId="77777777" w:rsidR="00D22122" w:rsidRPr="00ED62DC" w:rsidRDefault="00D22122" w:rsidP="009D0D80">
            <w:pPr>
              <w:spacing w:after="0" w:line="240" w:lineRule="auto"/>
              <w:rPr>
                <w:rFonts w:ascii="Times New Roman" w:eastAsia="Times New Roman" w:hAnsi="Times New Roman" w:cs="Times New Roman"/>
                <w:color w:val="000000" w:themeColor="text1"/>
                <w:spacing w:val="-4"/>
                <w:kern w:val="0"/>
                <w:sz w:val="20"/>
                <w:szCs w:val="20"/>
                <w:lang w:val="en-US" w:eastAsia="en-IN"/>
                <w14:ligatures w14:val="none"/>
              </w:rPr>
            </w:pPr>
            <w:r w:rsidRPr="00ED62DC">
              <w:rPr>
                <w:rFonts w:ascii="Times New Roman" w:eastAsia="Times New Roman" w:hAnsi="Times New Roman" w:cs="Times New Roman"/>
                <w:color w:val="000000" w:themeColor="text1"/>
                <w:spacing w:val="-4"/>
                <w:kern w:val="0"/>
                <w:sz w:val="20"/>
                <w:szCs w:val="20"/>
                <w:lang w:val="en-US" w:eastAsia="en-IN"/>
                <w14:ligatures w14:val="none"/>
              </w:rPr>
              <w:t>4.08</w:t>
            </w:r>
          </w:p>
        </w:tc>
      </w:tr>
    </w:tbl>
    <w:p w14:paraId="2288757B" w14:textId="77777777" w:rsidR="008F3B51" w:rsidRPr="00ED62DC" w:rsidRDefault="008F3B51" w:rsidP="00C17121">
      <w:pPr>
        <w:spacing w:after="0" w:line="240" w:lineRule="auto"/>
        <w:jc w:val="both"/>
        <w:rPr>
          <w:rFonts w:ascii="Times New Roman" w:hAnsi="Times New Roman" w:cs="Times New Roman"/>
          <w:color w:val="000000" w:themeColor="text1"/>
          <w:szCs w:val="24"/>
        </w:rPr>
      </w:pPr>
    </w:p>
    <w:p w14:paraId="25A46037" w14:textId="77777777" w:rsidR="008F3B51" w:rsidRPr="00ED62DC" w:rsidRDefault="008F3B51" w:rsidP="008F3B51">
      <w:pPr>
        <w:spacing w:after="0" w:line="240" w:lineRule="auto"/>
        <w:jc w:val="both"/>
        <w:rPr>
          <w:rFonts w:ascii="Times New Roman" w:hAnsi="Times New Roman" w:cs="Times New Roman"/>
          <w:color w:val="000000" w:themeColor="text1"/>
          <w:sz w:val="20"/>
          <w:szCs w:val="20"/>
        </w:rPr>
        <w:sectPr w:rsidR="008F3B51" w:rsidRPr="00ED62DC" w:rsidSect="00BC29BB">
          <w:type w:val="continuous"/>
          <w:pgSz w:w="11906" w:h="16838"/>
          <w:pgMar w:top="1440" w:right="1440" w:bottom="1440" w:left="1440" w:header="1134" w:footer="708" w:gutter="0"/>
          <w:cols w:space="708"/>
          <w:docGrid w:linePitch="360"/>
        </w:sectPr>
      </w:pPr>
    </w:p>
    <w:p w14:paraId="4987CF96" w14:textId="3003F2DB" w:rsidR="00C17121" w:rsidRPr="00ED62DC" w:rsidRDefault="00D22122" w:rsidP="00C61457">
      <w:pPr>
        <w:spacing w:after="0" w:line="276" w:lineRule="auto"/>
        <w:ind w:right="-94"/>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lastRenderedPageBreak/>
        <w:t>Source:</w:t>
      </w:r>
      <w:r w:rsidR="00C17121" w:rsidRPr="00ED62DC">
        <w:rPr>
          <w:rFonts w:ascii="Times New Roman" w:hAnsi="Times New Roman" w:cs="Times New Roman"/>
          <w:color w:val="000000" w:themeColor="text1"/>
          <w:sz w:val="20"/>
          <w:szCs w:val="20"/>
        </w:rPr>
        <w:t xml:space="preserve"> Authors estimation based on data compiled from Spice Board India, 2026</w:t>
      </w:r>
    </w:p>
    <w:p w14:paraId="756E4A89" w14:textId="3206B11F" w:rsidR="00D22122" w:rsidRPr="00ED62DC" w:rsidRDefault="00D22122" w:rsidP="00C61457">
      <w:pPr>
        <w:spacing w:after="0" w:line="276" w:lineRule="auto"/>
        <w:ind w:right="-94"/>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 xml:space="preserve">Note: (*) include ajwain seed, dill seed, poppy seed, aniseed, mustard etc. (**) include menthol, menthol crystals and other mint oils. (***) include asafoetida, cinnamon, cassia, </w:t>
      </w:r>
      <w:proofErr w:type="spellStart"/>
      <w:r w:rsidRPr="00ED62DC">
        <w:rPr>
          <w:rFonts w:ascii="Times New Roman" w:eastAsia="Times New Roman" w:hAnsi="Times New Roman" w:cs="Times New Roman"/>
          <w:color w:val="000000" w:themeColor="text1"/>
          <w:kern w:val="0"/>
          <w:sz w:val="20"/>
          <w:szCs w:val="20"/>
          <w:lang w:eastAsia="en-IN"/>
          <w14:ligatures w14:val="none"/>
        </w:rPr>
        <w:t>cambodge</w:t>
      </w:r>
      <w:proofErr w:type="spellEnd"/>
      <w:r w:rsidRPr="00ED62DC">
        <w:rPr>
          <w:rFonts w:ascii="Times New Roman" w:eastAsia="Times New Roman" w:hAnsi="Times New Roman" w:cs="Times New Roman"/>
          <w:color w:val="000000" w:themeColor="text1"/>
          <w:kern w:val="0"/>
          <w:sz w:val="20"/>
          <w:szCs w:val="20"/>
          <w:lang w:eastAsia="en-IN"/>
          <w14:ligatures w14:val="none"/>
        </w:rPr>
        <w:t>, saffron, spices</w:t>
      </w:r>
      <w:r w:rsidR="009277FE" w:rsidRPr="00ED62DC">
        <w:rPr>
          <w:rFonts w:ascii="Times New Roman" w:eastAsia="Times New Roman" w:hAnsi="Times New Roman" w:cs="Times New Roman"/>
          <w:color w:val="000000" w:themeColor="text1"/>
          <w:kern w:val="0"/>
          <w:sz w:val="20"/>
          <w:szCs w:val="20"/>
          <w:lang w:eastAsia="en-IN"/>
          <w14:ligatures w14:val="none"/>
        </w:rPr>
        <w:t xml:space="preserve"> </w:t>
      </w:r>
      <w:r w:rsidRPr="00ED62DC">
        <w:rPr>
          <w:rFonts w:ascii="Times New Roman" w:eastAsia="Times New Roman" w:hAnsi="Times New Roman" w:cs="Times New Roman"/>
          <w:color w:val="000000" w:themeColor="text1"/>
          <w:kern w:val="0"/>
          <w:sz w:val="20"/>
          <w:szCs w:val="20"/>
          <w:lang w:eastAsia="en-IN"/>
          <w14:ligatures w14:val="none"/>
        </w:rPr>
        <w:t>(</w:t>
      </w:r>
      <w:proofErr w:type="spellStart"/>
      <w:r w:rsidRPr="00ED62DC">
        <w:rPr>
          <w:rFonts w:ascii="Times New Roman" w:eastAsia="Times New Roman" w:hAnsi="Times New Roman" w:cs="Times New Roman"/>
          <w:color w:val="000000" w:themeColor="text1"/>
          <w:kern w:val="0"/>
          <w:sz w:val="20"/>
          <w:szCs w:val="20"/>
          <w:lang w:eastAsia="en-IN"/>
          <w14:ligatures w14:val="none"/>
        </w:rPr>
        <w:t>nes</w:t>
      </w:r>
      <w:proofErr w:type="spellEnd"/>
      <w:r w:rsidRPr="00ED62DC">
        <w:rPr>
          <w:rFonts w:ascii="Times New Roman" w:eastAsia="Times New Roman" w:hAnsi="Times New Roman" w:cs="Times New Roman"/>
          <w:color w:val="000000" w:themeColor="text1"/>
          <w:kern w:val="0"/>
          <w:sz w:val="20"/>
          <w:szCs w:val="20"/>
          <w:lang w:eastAsia="en-IN"/>
          <w14:ligatures w14:val="none"/>
        </w:rPr>
        <w:t>) etc.</w:t>
      </w:r>
    </w:p>
    <w:p w14:paraId="232E5944" w14:textId="77777777" w:rsidR="00D22122" w:rsidRPr="00ED62DC" w:rsidRDefault="00D22122" w:rsidP="00C61457">
      <w:pPr>
        <w:spacing w:after="0" w:line="276" w:lineRule="auto"/>
        <w:ind w:right="-94"/>
        <w:jc w:val="both"/>
        <w:rPr>
          <w:rFonts w:ascii="Times New Roman" w:hAnsi="Times New Roman" w:cs="Times New Roman"/>
          <w:color w:val="000000" w:themeColor="text1"/>
          <w:sz w:val="20"/>
          <w:szCs w:val="20"/>
        </w:rPr>
      </w:pPr>
    </w:p>
    <w:p w14:paraId="42C57BAE" w14:textId="6D4AC10B" w:rsidR="00AB76A2" w:rsidRPr="00ED62DC" w:rsidRDefault="00AB76A2" w:rsidP="00C61457">
      <w:pPr>
        <w:spacing w:after="0" w:line="276" w:lineRule="auto"/>
        <w:ind w:right="-94"/>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The country-wise export trends reveal the growing strategic importance of Gulf countries in India’s spice trade</w:t>
      </w:r>
      <w:r w:rsidR="006F31E3" w:rsidRPr="00ED62DC">
        <w:rPr>
          <w:rFonts w:ascii="Times New Roman" w:hAnsi="Times New Roman" w:cs="Times New Roman"/>
          <w:color w:val="000000" w:themeColor="text1"/>
          <w:sz w:val="20"/>
          <w:szCs w:val="20"/>
        </w:rPr>
        <w:t xml:space="preserve"> </w:t>
      </w:r>
      <w:r w:rsidR="003333BE" w:rsidRPr="00ED62DC">
        <w:rPr>
          <w:rFonts w:ascii="Times New Roman" w:hAnsi="Times New Roman" w:cs="Times New Roman"/>
          <w:color w:val="000000" w:themeColor="text1"/>
          <w:sz w:val="20"/>
          <w:szCs w:val="20"/>
        </w:rPr>
        <w:t>(Table 3),</w:t>
      </w:r>
      <w:r w:rsidRPr="00ED62DC">
        <w:rPr>
          <w:rFonts w:ascii="Times New Roman" w:hAnsi="Times New Roman" w:cs="Times New Roman"/>
          <w:color w:val="000000" w:themeColor="text1"/>
          <w:sz w:val="20"/>
          <w:szCs w:val="20"/>
        </w:rPr>
        <w:t xml:space="preserve"> highlight</w:t>
      </w:r>
      <w:r w:rsidR="003333BE" w:rsidRPr="00ED62DC">
        <w:rPr>
          <w:rFonts w:ascii="Times New Roman" w:hAnsi="Times New Roman" w:cs="Times New Roman"/>
          <w:color w:val="000000" w:themeColor="text1"/>
          <w:sz w:val="20"/>
          <w:szCs w:val="20"/>
        </w:rPr>
        <w:t>s</w:t>
      </w:r>
      <w:r w:rsidRPr="00ED62DC">
        <w:rPr>
          <w:rFonts w:ascii="Times New Roman" w:hAnsi="Times New Roman" w:cs="Times New Roman"/>
          <w:color w:val="000000" w:themeColor="text1"/>
          <w:sz w:val="20"/>
          <w:szCs w:val="20"/>
        </w:rPr>
        <w:t xml:space="preserve"> the potential vulnerability of the sector to any disruption in the Strait of Hormuz. Among the Gulf nations, the United Arab Emirates (U.A.E.) remained the largest importer of Indian spices throughout the study period, with imports </w:t>
      </w:r>
      <w:r w:rsidR="006F31E3" w:rsidRPr="00ED62DC">
        <w:rPr>
          <w:rFonts w:ascii="Times New Roman" w:hAnsi="Times New Roman" w:cs="Times New Roman"/>
          <w:color w:val="000000" w:themeColor="text1"/>
          <w:sz w:val="20"/>
          <w:szCs w:val="20"/>
        </w:rPr>
        <w:t>almost doubled</w:t>
      </w:r>
      <w:r w:rsidRPr="00ED62DC">
        <w:rPr>
          <w:rFonts w:ascii="Times New Roman" w:hAnsi="Times New Roman" w:cs="Times New Roman"/>
          <w:color w:val="000000" w:themeColor="text1"/>
          <w:sz w:val="20"/>
          <w:szCs w:val="20"/>
        </w:rPr>
        <w:t xml:space="preserve"> </w:t>
      </w:r>
      <w:r w:rsidR="006F31E3" w:rsidRPr="00ED62DC">
        <w:rPr>
          <w:rFonts w:ascii="Times New Roman" w:hAnsi="Times New Roman" w:cs="Times New Roman"/>
          <w:color w:val="000000" w:themeColor="text1"/>
          <w:sz w:val="20"/>
          <w:szCs w:val="20"/>
        </w:rPr>
        <w:t>in quantity as well as value term since 2021-22</w:t>
      </w:r>
      <w:r w:rsidRPr="00ED62DC">
        <w:rPr>
          <w:rFonts w:ascii="Times New Roman" w:hAnsi="Times New Roman" w:cs="Times New Roman"/>
          <w:color w:val="000000" w:themeColor="text1"/>
          <w:sz w:val="20"/>
          <w:szCs w:val="20"/>
        </w:rPr>
        <w:t xml:space="preserve">. Saudi Arabia also showed substantial growth, with imports rising from 30.33 to </w:t>
      </w:r>
      <w:r w:rsidR="006F31E3" w:rsidRPr="00ED62DC">
        <w:rPr>
          <w:rFonts w:ascii="Times New Roman" w:hAnsi="Times New Roman" w:cs="Times New Roman"/>
          <w:color w:val="000000" w:themeColor="text1"/>
          <w:sz w:val="20"/>
          <w:szCs w:val="20"/>
        </w:rPr>
        <w:t>5</w:t>
      </w:r>
      <w:r w:rsidRPr="00ED62DC">
        <w:rPr>
          <w:rFonts w:ascii="Times New Roman" w:hAnsi="Times New Roman" w:cs="Times New Roman"/>
          <w:color w:val="000000" w:themeColor="text1"/>
          <w:sz w:val="20"/>
          <w:szCs w:val="20"/>
        </w:rPr>
        <w:t xml:space="preserve">3 </w:t>
      </w:r>
      <w:r w:rsidR="006F31E3" w:rsidRPr="00ED62DC">
        <w:rPr>
          <w:rFonts w:ascii="Times New Roman" w:hAnsi="Times New Roman" w:cs="Times New Roman"/>
          <w:color w:val="000000" w:themeColor="text1"/>
          <w:sz w:val="20"/>
          <w:szCs w:val="20"/>
        </w:rPr>
        <w:t>lakh</w:t>
      </w:r>
      <w:r w:rsidRPr="00ED62DC">
        <w:rPr>
          <w:rFonts w:ascii="Times New Roman" w:hAnsi="Times New Roman" w:cs="Times New Roman"/>
          <w:color w:val="000000" w:themeColor="text1"/>
          <w:sz w:val="20"/>
          <w:szCs w:val="20"/>
        </w:rPr>
        <w:t xml:space="preserve"> tons and export value increasing from ₹</w:t>
      </w:r>
      <w:r w:rsidR="004C39C5" w:rsidRPr="00ED62DC">
        <w:rPr>
          <w:rFonts w:ascii="Times New Roman" w:hAnsi="Times New Roman" w:cs="Times New Roman"/>
          <w:color w:val="000000" w:themeColor="text1"/>
          <w:sz w:val="20"/>
          <w:szCs w:val="20"/>
        </w:rPr>
        <w:t xml:space="preserve">2814 </w:t>
      </w:r>
      <w:r w:rsidRPr="00ED62DC">
        <w:rPr>
          <w:rFonts w:ascii="Times New Roman" w:hAnsi="Times New Roman" w:cs="Times New Roman"/>
          <w:color w:val="000000" w:themeColor="text1"/>
          <w:sz w:val="20"/>
          <w:szCs w:val="20"/>
        </w:rPr>
        <w:t>crore to ₹</w:t>
      </w:r>
      <w:r w:rsidR="004C39C5" w:rsidRPr="00ED62DC">
        <w:rPr>
          <w:rFonts w:ascii="Times New Roman" w:hAnsi="Times New Roman" w:cs="Times New Roman"/>
          <w:color w:val="000000" w:themeColor="text1"/>
          <w:sz w:val="20"/>
          <w:szCs w:val="20"/>
        </w:rPr>
        <w:t xml:space="preserve">5171 </w:t>
      </w:r>
      <w:r w:rsidRPr="00ED62DC">
        <w:rPr>
          <w:rFonts w:ascii="Times New Roman" w:hAnsi="Times New Roman" w:cs="Times New Roman"/>
          <w:color w:val="000000" w:themeColor="text1"/>
          <w:sz w:val="20"/>
          <w:szCs w:val="20"/>
        </w:rPr>
        <w:t xml:space="preserve">crore during the same period. Similar upward </w:t>
      </w:r>
      <w:r w:rsidRPr="00ED62DC">
        <w:rPr>
          <w:rFonts w:ascii="Times New Roman" w:hAnsi="Times New Roman" w:cs="Times New Roman"/>
          <w:color w:val="000000" w:themeColor="text1"/>
          <w:sz w:val="20"/>
          <w:szCs w:val="20"/>
        </w:rPr>
        <w:lastRenderedPageBreak/>
        <w:t xml:space="preserve">trends were observed in Kuwait, Iraq, Oman, Qatar, and Yemen, indicating increasing dependence of Gulf food markets on Indian spices. Overall, India’s spice exports to Gulf countries increased from </w:t>
      </w:r>
      <w:r w:rsidR="004C39C5" w:rsidRPr="00ED62DC">
        <w:rPr>
          <w:rFonts w:ascii="Times New Roman" w:hAnsi="Times New Roman" w:cs="Times New Roman"/>
          <w:color w:val="000000" w:themeColor="text1"/>
          <w:sz w:val="20"/>
          <w:szCs w:val="20"/>
        </w:rPr>
        <w:t xml:space="preserve">11563 </w:t>
      </w:r>
      <w:r w:rsidRPr="00ED62DC">
        <w:rPr>
          <w:rFonts w:ascii="Times New Roman" w:hAnsi="Times New Roman" w:cs="Times New Roman"/>
          <w:color w:val="000000" w:themeColor="text1"/>
          <w:sz w:val="20"/>
          <w:szCs w:val="20"/>
        </w:rPr>
        <w:t>thousand tons in 202</w:t>
      </w:r>
      <w:r w:rsidR="004C39C5" w:rsidRPr="00ED62DC">
        <w:rPr>
          <w:rFonts w:ascii="Times New Roman" w:hAnsi="Times New Roman" w:cs="Times New Roman"/>
          <w:color w:val="000000" w:themeColor="text1"/>
          <w:sz w:val="20"/>
          <w:szCs w:val="20"/>
        </w:rPr>
        <w:t>1-22</w:t>
      </w:r>
      <w:r w:rsidRPr="00ED62DC">
        <w:rPr>
          <w:rFonts w:ascii="Times New Roman" w:hAnsi="Times New Roman" w:cs="Times New Roman"/>
          <w:color w:val="000000" w:themeColor="text1"/>
          <w:sz w:val="20"/>
          <w:szCs w:val="20"/>
        </w:rPr>
        <w:t xml:space="preserve"> to nearly </w:t>
      </w:r>
      <w:r w:rsidR="004C39C5" w:rsidRPr="00ED62DC">
        <w:rPr>
          <w:rFonts w:ascii="Times New Roman" w:hAnsi="Times New Roman" w:cs="Times New Roman"/>
          <w:color w:val="000000" w:themeColor="text1"/>
          <w:sz w:val="20"/>
          <w:szCs w:val="20"/>
        </w:rPr>
        <w:t xml:space="preserve">17912 </w:t>
      </w:r>
      <w:r w:rsidRPr="00ED62DC">
        <w:rPr>
          <w:rFonts w:ascii="Times New Roman" w:hAnsi="Times New Roman" w:cs="Times New Roman"/>
          <w:color w:val="000000" w:themeColor="text1"/>
          <w:sz w:val="20"/>
          <w:szCs w:val="20"/>
        </w:rPr>
        <w:t>thousand tons in 202</w:t>
      </w:r>
      <w:r w:rsidR="004C39C5" w:rsidRPr="00ED62DC">
        <w:rPr>
          <w:rFonts w:ascii="Times New Roman" w:hAnsi="Times New Roman" w:cs="Times New Roman"/>
          <w:color w:val="000000" w:themeColor="text1"/>
          <w:sz w:val="20"/>
          <w:szCs w:val="20"/>
        </w:rPr>
        <w:t>5-</w:t>
      </w:r>
      <w:r w:rsidRPr="00ED62DC">
        <w:rPr>
          <w:rFonts w:ascii="Times New Roman" w:hAnsi="Times New Roman" w:cs="Times New Roman"/>
          <w:color w:val="000000" w:themeColor="text1"/>
          <w:sz w:val="20"/>
          <w:szCs w:val="20"/>
        </w:rPr>
        <w:t>2</w:t>
      </w:r>
      <w:r w:rsidR="004C39C5" w:rsidRPr="00ED62DC">
        <w:rPr>
          <w:rFonts w:ascii="Times New Roman" w:hAnsi="Times New Roman" w:cs="Times New Roman"/>
          <w:color w:val="000000" w:themeColor="text1"/>
          <w:sz w:val="20"/>
          <w:szCs w:val="20"/>
        </w:rPr>
        <w:t>6</w:t>
      </w:r>
      <w:r w:rsidRPr="00ED62DC">
        <w:rPr>
          <w:rFonts w:ascii="Times New Roman" w:hAnsi="Times New Roman" w:cs="Times New Roman"/>
          <w:color w:val="000000" w:themeColor="text1"/>
          <w:sz w:val="20"/>
          <w:szCs w:val="20"/>
        </w:rPr>
        <w:t>.</w:t>
      </w:r>
    </w:p>
    <w:p w14:paraId="3D4BF28A" w14:textId="77777777" w:rsidR="008F3B51" w:rsidRPr="00ED62DC" w:rsidRDefault="008F3B51" w:rsidP="00C61457">
      <w:pPr>
        <w:spacing w:after="0" w:line="276" w:lineRule="auto"/>
        <w:ind w:right="-94"/>
        <w:jc w:val="both"/>
        <w:rPr>
          <w:rFonts w:ascii="Times New Roman" w:hAnsi="Times New Roman" w:cs="Times New Roman"/>
          <w:color w:val="000000" w:themeColor="text1"/>
          <w:sz w:val="10"/>
          <w:szCs w:val="10"/>
        </w:rPr>
      </w:pPr>
    </w:p>
    <w:p w14:paraId="18E60DD6" w14:textId="4C1A6897" w:rsidR="00AB76A2" w:rsidRPr="00ED62DC" w:rsidRDefault="00AB76A2" w:rsidP="00C61457">
      <w:pPr>
        <w:spacing w:after="0" w:line="276" w:lineRule="auto"/>
        <w:ind w:right="-94"/>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 xml:space="preserve">The increasing concentration of spice exports in Gulf markets </w:t>
      </w:r>
      <w:r w:rsidR="004C39C5" w:rsidRPr="00ED62DC">
        <w:rPr>
          <w:rFonts w:ascii="Times New Roman" w:hAnsi="Times New Roman" w:cs="Times New Roman"/>
          <w:color w:val="000000" w:themeColor="text1"/>
          <w:sz w:val="20"/>
          <w:szCs w:val="20"/>
        </w:rPr>
        <w:t xml:space="preserve">(24 to 30% share to total volume) </w:t>
      </w:r>
      <w:r w:rsidRPr="00ED62DC">
        <w:rPr>
          <w:rFonts w:ascii="Times New Roman" w:hAnsi="Times New Roman" w:cs="Times New Roman"/>
          <w:color w:val="000000" w:themeColor="text1"/>
          <w:sz w:val="20"/>
          <w:szCs w:val="20"/>
        </w:rPr>
        <w:t>has important geopolitical and trade policy implications</w:t>
      </w:r>
      <w:r w:rsidR="004C39C5" w:rsidRPr="00ED62DC">
        <w:rPr>
          <w:rFonts w:ascii="Times New Roman" w:hAnsi="Times New Roman" w:cs="Times New Roman"/>
          <w:color w:val="000000" w:themeColor="text1"/>
          <w:sz w:val="20"/>
          <w:szCs w:val="20"/>
        </w:rPr>
        <w:t xml:space="preserve">. </w:t>
      </w:r>
      <w:r w:rsidRPr="00ED62DC">
        <w:rPr>
          <w:rFonts w:ascii="Times New Roman" w:hAnsi="Times New Roman" w:cs="Times New Roman"/>
          <w:color w:val="000000" w:themeColor="text1"/>
          <w:sz w:val="20"/>
          <w:szCs w:val="20"/>
        </w:rPr>
        <w:t xml:space="preserve">Countries such as U.A.E., Saudi Arabia, Kuwait, Oman, Qatar, and Iraq are directly dependent on shipping routes </w:t>
      </w:r>
      <w:r w:rsidR="004C39C5" w:rsidRPr="00ED62DC">
        <w:rPr>
          <w:rFonts w:ascii="Times New Roman" w:hAnsi="Times New Roman" w:cs="Times New Roman"/>
          <w:color w:val="000000" w:themeColor="text1"/>
          <w:sz w:val="20"/>
          <w:szCs w:val="20"/>
        </w:rPr>
        <w:t>are</w:t>
      </w:r>
      <w:r w:rsidRPr="00ED62DC">
        <w:rPr>
          <w:rFonts w:ascii="Times New Roman" w:hAnsi="Times New Roman" w:cs="Times New Roman"/>
          <w:color w:val="000000" w:themeColor="text1"/>
          <w:sz w:val="20"/>
          <w:szCs w:val="20"/>
        </w:rPr>
        <w:t xml:space="preserve"> highly </w:t>
      </w:r>
      <w:r w:rsidR="004C39C5" w:rsidRPr="00ED62DC">
        <w:rPr>
          <w:rFonts w:ascii="Times New Roman" w:hAnsi="Times New Roman" w:cs="Times New Roman"/>
          <w:color w:val="000000" w:themeColor="text1"/>
          <w:sz w:val="20"/>
          <w:szCs w:val="20"/>
        </w:rPr>
        <w:t>susceptible</w:t>
      </w:r>
      <w:r w:rsidRPr="00ED62DC">
        <w:rPr>
          <w:rFonts w:ascii="Times New Roman" w:hAnsi="Times New Roman" w:cs="Times New Roman"/>
          <w:color w:val="000000" w:themeColor="text1"/>
          <w:sz w:val="20"/>
          <w:szCs w:val="20"/>
        </w:rPr>
        <w:t xml:space="preserve"> to geopolitical instability in the region. Since the Gulf region contributes a substantial share of India’s spice export earnings</w:t>
      </w:r>
      <w:r w:rsidR="004C39C5" w:rsidRPr="00ED62DC">
        <w:rPr>
          <w:rFonts w:ascii="Times New Roman" w:hAnsi="Times New Roman" w:cs="Times New Roman"/>
          <w:color w:val="000000" w:themeColor="text1"/>
          <w:sz w:val="20"/>
          <w:szCs w:val="20"/>
        </w:rPr>
        <w:t xml:space="preserve"> (&gt;26%)</w:t>
      </w:r>
      <w:r w:rsidRPr="00ED62DC">
        <w:rPr>
          <w:rFonts w:ascii="Times New Roman" w:hAnsi="Times New Roman" w:cs="Times New Roman"/>
          <w:color w:val="000000" w:themeColor="text1"/>
          <w:sz w:val="20"/>
          <w:szCs w:val="20"/>
        </w:rPr>
        <w:t xml:space="preserve">, prolonged disruption could reduce export competitiveness, create market uncertainty, and adversely </w:t>
      </w:r>
      <w:r w:rsidR="008D6C3E" w:rsidRPr="00ED62DC">
        <w:rPr>
          <w:rFonts w:ascii="Times New Roman" w:hAnsi="Times New Roman" w:cs="Times New Roman"/>
          <w:color w:val="000000" w:themeColor="text1"/>
          <w:sz w:val="20"/>
          <w:szCs w:val="20"/>
        </w:rPr>
        <w:t>affect</w:t>
      </w:r>
      <w:r w:rsidRPr="00ED62DC">
        <w:rPr>
          <w:rFonts w:ascii="Times New Roman" w:hAnsi="Times New Roman" w:cs="Times New Roman"/>
          <w:color w:val="000000" w:themeColor="text1"/>
          <w:sz w:val="20"/>
          <w:szCs w:val="20"/>
        </w:rPr>
        <w:t xml:space="preserve"> farmers, exporters, processors, and foreign exchange earnings. </w:t>
      </w:r>
    </w:p>
    <w:p w14:paraId="2E0BEDC8" w14:textId="77777777" w:rsidR="008F3B51" w:rsidRPr="00ED62DC" w:rsidRDefault="008F3B51" w:rsidP="004C39C5">
      <w:pPr>
        <w:spacing w:before="240" w:after="0" w:line="240" w:lineRule="auto"/>
        <w:jc w:val="both"/>
        <w:rPr>
          <w:rFonts w:ascii="Times New Roman" w:hAnsi="Times New Roman" w:cs="Times New Roman"/>
          <w:b/>
          <w:bCs/>
          <w:color w:val="000000" w:themeColor="text1"/>
          <w:szCs w:val="24"/>
        </w:rPr>
        <w:sectPr w:rsidR="008F3B51" w:rsidRPr="00ED62DC" w:rsidSect="00C61457">
          <w:type w:val="continuous"/>
          <w:pgSz w:w="11906" w:h="16838"/>
          <w:pgMar w:top="1440" w:right="1440" w:bottom="1440" w:left="1418" w:header="1134" w:footer="708" w:gutter="0"/>
          <w:cols w:num="2" w:space="708"/>
          <w:docGrid w:linePitch="360"/>
        </w:sectPr>
      </w:pPr>
    </w:p>
    <w:p w14:paraId="19253092" w14:textId="61DA41D0" w:rsidR="00F822F6" w:rsidRPr="00ED62DC" w:rsidRDefault="00F822F6" w:rsidP="008F3B51">
      <w:pPr>
        <w:spacing w:before="240" w:after="0" w:line="240" w:lineRule="auto"/>
        <w:rPr>
          <w:rFonts w:ascii="Times New Roman" w:hAnsi="Times New Roman" w:cs="Times New Roman"/>
          <w:color w:val="000000" w:themeColor="text1"/>
          <w:sz w:val="20"/>
          <w:szCs w:val="20"/>
        </w:rPr>
      </w:pPr>
      <w:r w:rsidRPr="00ED62DC">
        <w:rPr>
          <w:rFonts w:ascii="Times New Roman" w:hAnsi="Times New Roman" w:cs="Times New Roman"/>
          <w:b/>
          <w:bCs/>
          <w:color w:val="000000" w:themeColor="text1"/>
          <w:sz w:val="20"/>
          <w:szCs w:val="20"/>
        </w:rPr>
        <w:lastRenderedPageBreak/>
        <w:t>Table</w:t>
      </w:r>
      <w:r w:rsidR="004C39C5" w:rsidRPr="00ED62DC">
        <w:rPr>
          <w:rFonts w:ascii="Times New Roman" w:hAnsi="Times New Roman" w:cs="Times New Roman"/>
          <w:b/>
          <w:bCs/>
          <w:color w:val="000000" w:themeColor="text1"/>
          <w:sz w:val="20"/>
          <w:szCs w:val="20"/>
        </w:rPr>
        <w:t xml:space="preserve"> 3.</w:t>
      </w:r>
      <w:r w:rsidRPr="00ED62DC">
        <w:rPr>
          <w:rFonts w:ascii="Times New Roman" w:hAnsi="Times New Roman" w:cs="Times New Roman"/>
          <w:b/>
          <w:bCs/>
          <w:color w:val="000000" w:themeColor="text1"/>
          <w:sz w:val="20"/>
          <w:szCs w:val="20"/>
        </w:rPr>
        <w:t xml:space="preserve"> </w:t>
      </w:r>
      <w:r w:rsidR="00AB76A2" w:rsidRPr="00ED62DC">
        <w:rPr>
          <w:rFonts w:ascii="Times New Roman" w:hAnsi="Times New Roman" w:cs="Times New Roman"/>
          <w:color w:val="000000" w:themeColor="text1"/>
          <w:sz w:val="20"/>
          <w:szCs w:val="20"/>
        </w:rPr>
        <w:t>Country-wise s</w:t>
      </w:r>
      <w:r w:rsidRPr="00ED62DC">
        <w:rPr>
          <w:rFonts w:ascii="Times New Roman" w:hAnsi="Times New Roman" w:cs="Times New Roman"/>
          <w:color w:val="000000" w:themeColor="text1"/>
          <w:sz w:val="20"/>
          <w:szCs w:val="20"/>
        </w:rPr>
        <w:t>pices export quantity (</w:t>
      </w:r>
      <w:r w:rsidR="000D3258" w:rsidRPr="00ED62DC">
        <w:rPr>
          <w:rFonts w:ascii="Times New Roman" w:hAnsi="Times New Roman" w:cs="Times New Roman"/>
          <w:color w:val="000000" w:themeColor="text1"/>
          <w:sz w:val="20"/>
          <w:szCs w:val="20"/>
        </w:rPr>
        <w:t xml:space="preserve">‘000 </w:t>
      </w:r>
      <w:r w:rsidRPr="00ED62DC">
        <w:rPr>
          <w:rFonts w:ascii="Times New Roman" w:hAnsi="Times New Roman" w:cs="Times New Roman"/>
          <w:color w:val="000000" w:themeColor="text1"/>
          <w:sz w:val="20"/>
          <w:szCs w:val="20"/>
        </w:rPr>
        <w:t>tons) and value (</w:t>
      </w:r>
      <w:r w:rsidR="000D3258" w:rsidRPr="00ED62DC">
        <w:rPr>
          <w:rFonts w:ascii="Times New Roman" w:hAnsi="Times New Roman" w:cs="Times New Roman"/>
          <w:color w:val="000000" w:themeColor="text1"/>
          <w:sz w:val="20"/>
          <w:szCs w:val="20"/>
        </w:rPr>
        <w:t xml:space="preserve">Crore </w:t>
      </w:r>
      <w:r w:rsidRPr="00ED62DC">
        <w:rPr>
          <w:rFonts w:ascii="Times New Roman" w:hAnsi="Times New Roman" w:cs="Times New Roman"/>
          <w:color w:val="000000" w:themeColor="text1"/>
          <w:sz w:val="20"/>
          <w:szCs w:val="20"/>
        </w:rPr>
        <w:t xml:space="preserve">Rs) </w:t>
      </w:r>
      <w:r w:rsidR="00AB76A2" w:rsidRPr="00ED62DC">
        <w:rPr>
          <w:rFonts w:ascii="Times New Roman" w:hAnsi="Times New Roman" w:cs="Times New Roman"/>
          <w:color w:val="000000" w:themeColor="text1"/>
          <w:sz w:val="20"/>
          <w:szCs w:val="20"/>
        </w:rPr>
        <w:t xml:space="preserve">from India </w:t>
      </w:r>
      <w:r w:rsidRPr="00ED62DC">
        <w:rPr>
          <w:rFonts w:ascii="Times New Roman" w:hAnsi="Times New Roman" w:cs="Times New Roman"/>
          <w:color w:val="000000" w:themeColor="text1"/>
          <w:sz w:val="20"/>
          <w:szCs w:val="20"/>
        </w:rPr>
        <w:t xml:space="preserve">to </w:t>
      </w:r>
      <w:r w:rsidR="009277FE" w:rsidRPr="00ED62DC">
        <w:rPr>
          <w:rFonts w:ascii="Times New Roman" w:hAnsi="Times New Roman" w:cs="Times New Roman"/>
          <w:color w:val="000000" w:themeColor="text1"/>
          <w:sz w:val="20"/>
          <w:szCs w:val="20"/>
        </w:rPr>
        <w:t>GCC</w:t>
      </w:r>
      <w:r w:rsidRPr="00ED62DC">
        <w:rPr>
          <w:rFonts w:ascii="Times New Roman" w:hAnsi="Times New Roman" w:cs="Times New Roman"/>
          <w:color w:val="000000" w:themeColor="text1"/>
          <w:sz w:val="20"/>
          <w:szCs w:val="20"/>
        </w:rPr>
        <w:t xml:space="preserve"> countries</w:t>
      </w:r>
      <w:r w:rsidR="00B0701F" w:rsidRPr="00ED62DC">
        <w:rPr>
          <w:rFonts w:ascii="Times New Roman" w:hAnsi="Times New Roman" w:cs="Times New Roman"/>
          <w:color w:val="000000" w:themeColor="text1"/>
          <w:sz w:val="20"/>
          <w:szCs w:val="20"/>
        </w:rPr>
        <w:t xml:space="preserve"> and percent changes in 2025-26 over 2024-25</w:t>
      </w:r>
    </w:p>
    <w:p w14:paraId="68929A10" w14:textId="77777777" w:rsidR="008F3B51" w:rsidRPr="00ED62DC" w:rsidRDefault="008F3B51" w:rsidP="008F3B51">
      <w:pPr>
        <w:spacing w:after="0" w:line="240" w:lineRule="auto"/>
        <w:jc w:val="both"/>
        <w:rPr>
          <w:rFonts w:ascii="Times New Roman" w:hAnsi="Times New Roman" w:cs="Times New Roman"/>
          <w:color w:val="000000" w:themeColor="text1"/>
          <w:sz w:val="20"/>
          <w:szCs w:val="20"/>
        </w:rPr>
      </w:pPr>
    </w:p>
    <w:tbl>
      <w:tblPr>
        <w:tblW w:w="0" w:type="auto"/>
        <w:tblLook w:val="04A0" w:firstRow="1" w:lastRow="0" w:firstColumn="1" w:lastColumn="0" w:noHBand="0" w:noVBand="1"/>
      </w:tblPr>
      <w:tblGrid>
        <w:gridCol w:w="847"/>
        <w:gridCol w:w="710"/>
        <w:gridCol w:w="710"/>
        <w:gridCol w:w="710"/>
        <w:gridCol w:w="710"/>
        <w:gridCol w:w="710"/>
        <w:gridCol w:w="710"/>
        <w:gridCol w:w="710"/>
        <w:gridCol w:w="710"/>
        <w:gridCol w:w="545"/>
        <w:gridCol w:w="710"/>
        <w:gridCol w:w="622"/>
        <w:gridCol w:w="622"/>
      </w:tblGrid>
      <w:tr w:rsidR="00576381" w:rsidRPr="00ED62DC" w14:paraId="6476FF5D" w14:textId="77777777" w:rsidTr="00955CAA">
        <w:trPr>
          <w:trHeight w:val="264"/>
        </w:trPr>
        <w:tc>
          <w:tcPr>
            <w:tcW w:w="1129" w:type="dxa"/>
            <w:vMerge w:val="restart"/>
            <w:tcBorders>
              <w:top w:val="single" w:sz="4" w:space="0" w:color="auto"/>
            </w:tcBorders>
            <w:noWrap/>
            <w:vAlign w:val="center"/>
            <w:hideMark/>
          </w:tcPr>
          <w:p w14:paraId="2D81A961" w14:textId="77777777" w:rsidR="00576381" w:rsidRPr="00ED62DC" w:rsidRDefault="00576381" w:rsidP="00576381">
            <w:pPr>
              <w:spacing w:after="0" w:line="240" w:lineRule="auto"/>
              <w:jc w:val="center"/>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Country name</w:t>
            </w:r>
          </w:p>
        </w:tc>
        <w:tc>
          <w:tcPr>
            <w:tcW w:w="1138" w:type="dxa"/>
            <w:gridSpan w:val="2"/>
            <w:tcBorders>
              <w:top w:val="single" w:sz="4" w:space="0" w:color="auto"/>
            </w:tcBorders>
            <w:noWrap/>
            <w:vAlign w:val="center"/>
            <w:hideMark/>
          </w:tcPr>
          <w:p w14:paraId="624BB558" w14:textId="77777777" w:rsidR="00576381" w:rsidRPr="00ED62DC" w:rsidRDefault="00576381" w:rsidP="00576381">
            <w:pPr>
              <w:spacing w:after="0" w:line="240" w:lineRule="auto"/>
              <w:jc w:val="center"/>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2021-22</w:t>
            </w:r>
          </w:p>
        </w:tc>
        <w:tc>
          <w:tcPr>
            <w:tcW w:w="0" w:type="auto"/>
            <w:gridSpan w:val="2"/>
            <w:tcBorders>
              <w:top w:val="single" w:sz="4" w:space="0" w:color="auto"/>
            </w:tcBorders>
            <w:noWrap/>
            <w:vAlign w:val="center"/>
            <w:hideMark/>
          </w:tcPr>
          <w:p w14:paraId="0D78D946" w14:textId="77777777" w:rsidR="00576381" w:rsidRPr="00ED62DC" w:rsidRDefault="00576381" w:rsidP="00576381">
            <w:pPr>
              <w:spacing w:after="0" w:line="240" w:lineRule="auto"/>
              <w:jc w:val="center"/>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2022-23</w:t>
            </w:r>
          </w:p>
        </w:tc>
        <w:tc>
          <w:tcPr>
            <w:tcW w:w="0" w:type="auto"/>
            <w:gridSpan w:val="2"/>
            <w:tcBorders>
              <w:top w:val="single" w:sz="4" w:space="0" w:color="auto"/>
            </w:tcBorders>
            <w:noWrap/>
            <w:vAlign w:val="center"/>
            <w:hideMark/>
          </w:tcPr>
          <w:p w14:paraId="7033FFE9" w14:textId="77777777" w:rsidR="00576381" w:rsidRPr="00ED62DC" w:rsidRDefault="00576381" w:rsidP="00576381">
            <w:pPr>
              <w:spacing w:after="0" w:line="240" w:lineRule="auto"/>
              <w:jc w:val="center"/>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2023-24</w:t>
            </w:r>
          </w:p>
        </w:tc>
        <w:tc>
          <w:tcPr>
            <w:tcW w:w="0" w:type="auto"/>
            <w:gridSpan w:val="2"/>
            <w:tcBorders>
              <w:top w:val="single" w:sz="4" w:space="0" w:color="auto"/>
            </w:tcBorders>
            <w:noWrap/>
            <w:vAlign w:val="center"/>
            <w:hideMark/>
          </w:tcPr>
          <w:p w14:paraId="15ED714D" w14:textId="1E614C9F" w:rsidR="00576381" w:rsidRPr="00ED62DC" w:rsidRDefault="00576381" w:rsidP="00576381">
            <w:pPr>
              <w:spacing w:after="0" w:line="240" w:lineRule="auto"/>
              <w:jc w:val="center"/>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2024-25</w:t>
            </w:r>
          </w:p>
        </w:tc>
        <w:tc>
          <w:tcPr>
            <w:tcW w:w="0" w:type="auto"/>
            <w:gridSpan w:val="2"/>
            <w:tcBorders>
              <w:top w:val="single" w:sz="4" w:space="0" w:color="auto"/>
            </w:tcBorders>
            <w:vAlign w:val="center"/>
            <w:hideMark/>
          </w:tcPr>
          <w:p w14:paraId="512060ED" w14:textId="32D7530E" w:rsidR="00576381" w:rsidRPr="00ED62DC" w:rsidRDefault="00576381" w:rsidP="00576381">
            <w:pPr>
              <w:spacing w:after="0" w:line="240" w:lineRule="auto"/>
              <w:jc w:val="center"/>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2025-26</w:t>
            </w:r>
          </w:p>
        </w:tc>
        <w:tc>
          <w:tcPr>
            <w:tcW w:w="0" w:type="auto"/>
            <w:gridSpan w:val="2"/>
            <w:tcBorders>
              <w:top w:val="single" w:sz="4" w:space="0" w:color="auto"/>
            </w:tcBorders>
            <w:noWrap/>
            <w:hideMark/>
          </w:tcPr>
          <w:p w14:paraId="623348A6" w14:textId="77777777" w:rsidR="00576381" w:rsidRPr="00ED62DC" w:rsidRDefault="00576381" w:rsidP="00576381">
            <w:pPr>
              <w:spacing w:after="0" w:line="240" w:lineRule="auto"/>
              <w:jc w:val="center"/>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 Change</w:t>
            </w:r>
          </w:p>
        </w:tc>
      </w:tr>
      <w:tr w:rsidR="00576381" w:rsidRPr="00ED62DC" w14:paraId="79B3F942" w14:textId="77777777" w:rsidTr="00955CAA">
        <w:trPr>
          <w:trHeight w:val="264"/>
        </w:trPr>
        <w:tc>
          <w:tcPr>
            <w:tcW w:w="1129" w:type="dxa"/>
            <w:vMerge/>
            <w:tcBorders>
              <w:bottom w:val="single" w:sz="4" w:space="0" w:color="auto"/>
            </w:tcBorders>
            <w:vAlign w:val="center"/>
            <w:hideMark/>
          </w:tcPr>
          <w:p w14:paraId="442F84AD" w14:textId="77777777" w:rsidR="00576381" w:rsidRPr="00ED62DC" w:rsidRDefault="00576381" w:rsidP="00576381">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p>
        </w:tc>
        <w:tc>
          <w:tcPr>
            <w:tcW w:w="429" w:type="dxa"/>
            <w:tcBorders>
              <w:bottom w:val="single" w:sz="4" w:space="0" w:color="auto"/>
            </w:tcBorders>
            <w:noWrap/>
            <w:vAlign w:val="center"/>
            <w:hideMark/>
          </w:tcPr>
          <w:p w14:paraId="6E01BE48" w14:textId="77777777" w:rsidR="00576381" w:rsidRPr="00ED62DC" w:rsidRDefault="00576381" w:rsidP="00576381">
            <w:pPr>
              <w:spacing w:after="0" w:line="240" w:lineRule="auto"/>
              <w:rPr>
                <w:rFonts w:ascii="Times New Roman" w:eastAsia="Times New Roman" w:hAnsi="Times New Roman" w:cs="Times New Roman"/>
                <w:b/>
                <w:bCs/>
                <w:color w:val="000000" w:themeColor="text1"/>
                <w:kern w:val="0"/>
                <w:sz w:val="19"/>
                <w:szCs w:val="19"/>
                <w:lang w:eastAsia="en-IN"/>
                <w14:ligatures w14:val="none"/>
              </w:rPr>
            </w:pPr>
            <w:r w:rsidRPr="00ED62DC">
              <w:rPr>
                <w:rFonts w:ascii="Times New Roman" w:eastAsia="Times New Roman" w:hAnsi="Times New Roman" w:cs="Times New Roman"/>
                <w:b/>
                <w:bCs/>
                <w:color w:val="000000" w:themeColor="text1"/>
                <w:kern w:val="0"/>
                <w:sz w:val="19"/>
                <w:szCs w:val="19"/>
                <w:lang w:eastAsia="en-IN"/>
                <w14:ligatures w14:val="none"/>
              </w:rPr>
              <w:t>Qty</w:t>
            </w:r>
          </w:p>
        </w:tc>
        <w:tc>
          <w:tcPr>
            <w:tcW w:w="0" w:type="auto"/>
            <w:tcBorders>
              <w:bottom w:val="single" w:sz="4" w:space="0" w:color="auto"/>
            </w:tcBorders>
            <w:noWrap/>
            <w:vAlign w:val="center"/>
            <w:hideMark/>
          </w:tcPr>
          <w:p w14:paraId="53EDBD67" w14:textId="77777777" w:rsidR="00576381" w:rsidRPr="00ED62DC" w:rsidRDefault="00576381" w:rsidP="00576381">
            <w:pPr>
              <w:spacing w:after="0" w:line="240" w:lineRule="auto"/>
              <w:rPr>
                <w:rFonts w:ascii="Times New Roman" w:eastAsia="Times New Roman" w:hAnsi="Times New Roman" w:cs="Times New Roman"/>
                <w:b/>
                <w:bCs/>
                <w:color w:val="000000" w:themeColor="text1"/>
                <w:kern w:val="0"/>
                <w:sz w:val="19"/>
                <w:szCs w:val="19"/>
                <w:lang w:eastAsia="en-IN"/>
                <w14:ligatures w14:val="none"/>
              </w:rPr>
            </w:pPr>
            <w:r w:rsidRPr="00ED62DC">
              <w:rPr>
                <w:rFonts w:ascii="Times New Roman" w:eastAsia="Times New Roman" w:hAnsi="Times New Roman" w:cs="Times New Roman"/>
                <w:b/>
                <w:bCs/>
                <w:color w:val="000000" w:themeColor="text1"/>
                <w:kern w:val="0"/>
                <w:sz w:val="19"/>
                <w:szCs w:val="19"/>
                <w:lang w:eastAsia="en-IN"/>
                <w14:ligatures w14:val="none"/>
              </w:rPr>
              <w:t>Value</w:t>
            </w:r>
          </w:p>
        </w:tc>
        <w:tc>
          <w:tcPr>
            <w:tcW w:w="0" w:type="auto"/>
            <w:tcBorders>
              <w:bottom w:val="single" w:sz="4" w:space="0" w:color="auto"/>
            </w:tcBorders>
            <w:noWrap/>
            <w:vAlign w:val="center"/>
            <w:hideMark/>
          </w:tcPr>
          <w:p w14:paraId="6287EBF6" w14:textId="77777777" w:rsidR="00576381" w:rsidRPr="00ED62DC" w:rsidRDefault="00576381" w:rsidP="00576381">
            <w:pPr>
              <w:spacing w:after="0" w:line="240" w:lineRule="auto"/>
              <w:rPr>
                <w:rFonts w:ascii="Times New Roman" w:eastAsia="Times New Roman" w:hAnsi="Times New Roman" w:cs="Times New Roman"/>
                <w:b/>
                <w:bCs/>
                <w:color w:val="000000" w:themeColor="text1"/>
                <w:kern w:val="0"/>
                <w:sz w:val="19"/>
                <w:szCs w:val="19"/>
                <w:lang w:eastAsia="en-IN"/>
                <w14:ligatures w14:val="none"/>
              </w:rPr>
            </w:pPr>
            <w:r w:rsidRPr="00ED62DC">
              <w:rPr>
                <w:rFonts w:ascii="Times New Roman" w:eastAsia="Times New Roman" w:hAnsi="Times New Roman" w:cs="Times New Roman"/>
                <w:b/>
                <w:bCs/>
                <w:color w:val="000000" w:themeColor="text1"/>
                <w:kern w:val="0"/>
                <w:sz w:val="19"/>
                <w:szCs w:val="19"/>
                <w:lang w:eastAsia="en-IN"/>
                <w14:ligatures w14:val="none"/>
              </w:rPr>
              <w:t>Qty</w:t>
            </w:r>
          </w:p>
        </w:tc>
        <w:tc>
          <w:tcPr>
            <w:tcW w:w="0" w:type="auto"/>
            <w:tcBorders>
              <w:bottom w:val="single" w:sz="4" w:space="0" w:color="auto"/>
            </w:tcBorders>
            <w:noWrap/>
            <w:vAlign w:val="center"/>
            <w:hideMark/>
          </w:tcPr>
          <w:p w14:paraId="13742A84" w14:textId="77777777" w:rsidR="00576381" w:rsidRPr="00ED62DC" w:rsidRDefault="00576381" w:rsidP="00576381">
            <w:pPr>
              <w:spacing w:after="0" w:line="240" w:lineRule="auto"/>
              <w:rPr>
                <w:rFonts w:ascii="Times New Roman" w:eastAsia="Times New Roman" w:hAnsi="Times New Roman" w:cs="Times New Roman"/>
                <w:b/>
                <w:bCs/>
                <w:color w:val="000000" w:themeColor="text1"/>
                <w:kern w:val="0"/>
                <w:sz w:val="19"/>
                <w:szCs w:val="19"/>
                <w:lang w:eastAsia="en-IN"/>
                <w14:ligatures w14:val="none"/>
              </w:rPr>
            </w:pPr>
            <w:r w:rsidRPr="00ED62DC">
              <w:rPr>
                <w:rFonts w:ascii="Times New Roman" w:eastAsia="Times New Roman" w:hAnsi="Times New Roman" w:cs="Times New Roman"/>
                <w:b/>
                <w:bCs/>
                <w:color w:val="000000" w:themeColor="text1"/>
                <w:kern w:val="0"/>
                <w:sz w:val="19"/>
                <w:szCs w:val="19"/>
                <w:lang w:eastAsia="en-IN"/>
                <w14:ligatures w14:val="none"/>
              </w:rPr>
              <w:t>Value</w:t>
            </w:r>
          </w:p>
        </w:tc>
        <w:tc>
          <w:tcPr>
            <w:tcW w:w="0" w:type="auto"/>
            <w:tcBorders>
              <w:bottom w:val="single" w:sz="4" w:space="0" w:color="auto"/>
            </w:tcBorders>
            <w:noWrap/>
            <w:vAlign w:val="center"/>
            <w:hideMark/>
          </w:tcPr>
          <w:p w14:paraId="6A8FBDE0" w14:textId="77777777" w:rsidR="00576381" w:rsidRPr="00ED62DC" w:rsidRDefault="00576381" w:rsidP="00576381">
            <w:pPr>
              <w:spacing w:after="0" w:line="240" w:lineRule="auto"/>
              <w:rPr>
                <w:rFonts w:ascii="Times New Roman" w:eastAsia="Times New Roman" w:hAnsi="Times New Roman" w:cs="Times New Roman"/>
                <w:b/>
                <w:bCs/>
                <w:color w:val="000000" w:themeColor="text1"/>
                <w:kern w:val="0"/>
                <w:sz w:val="19"/>
                <w:szCs w:val="19"/>
                <w:lang w:eastAsia="en-IN"/>
                <w14:ligatures w14:val="none"/>
              </w:rPr>
            </w:pPr>
            <w:r w:rsidRPr="00ED62DC">
              <w:rPr>
                <w:rFonts w:ascii="Times New Roman" w:eastAsia="Times New Roman" w:hAnsi="Times New Roman" w:cs="Times New Roman"/>
                <w:b/>
                <w:bCs/>
                <w:color w:val="000000" w:themeColor="text1"/>
                <w:kern w:val="0"/>
                <w:sz w:val="19"/>
                <w:szCs w:val="19"/>
                <w:lang w:eastAsia="en-IN"/>
                <w14:ligatures w14:val="none"/>
              </w:rPr>
              <w:t>Qty</w:t>
            </w:r>
          </w:p>
        </w:tc>
        <w:tc>
          <w:tcPr>
            <w:tcW w:w="0" w:type="auto"/>
            <w:tcBorders>
              <w:bottom w:val="single" w:sz="4" w:space="0" w:color="auto"/>
            </w:tcBorders>
            <w:noWrap/>
            <w:vAlign w:val="center"/>
            <w:hideMark/>
          </w:tcPr>
          <w:p w14:paraId="277435DC" w14:textId="77777777" w:rsidR="00576381" w:rsidRPr="00ED62DC" w:rsidRDefault="00576381" w:rsidP="00576381">
            <w:pPr>
              <w:spacing w:after="0" w:line="240" w:lineRule="auto"/>
              <w:rPr>
                <w:rFonts w:ascii="Times New Roman" w:eastAsia="Times New Roman" w:hAnsi="Times New Roman" w:cs="Times New Roman"/>
                <w:b/>
                <w:bCs/>
                <w:color w:val="000000" w:themeColor="text1"/>
                <w:kern w:val="0"/>
                <w:sz w:val="19"/>
                <w:szCs w:val="19"/>
                <w:lang w:eastAsia="en-IN"/>
                <w14:ligatures w14:val="none"/>
              </w:rPr>
            </w:pPr>
            <w:r w:rsidRPr="00ED62DC">
              <w:rPr>
                <w:rFonts w:ascii="Times New Roman" w:eastAsia="Times New Roman" w:hAnsi="Times New Roman" w:cs="Times New Roman"/>
                <w:b/>
                <w:bCs/>
                <w:color w:val="000000" w:themeColor="text1"/>
                <w:kern w:val="0"/>
                <w:sz w:val="19"/>
                <w:szCs w:val="19"/>
                <w:lang w:eastAsia="en-IN"/>
                <w14:ligatures w14:val="none"/>
              </w:rPr>
              <w:t>Value</w:t>
            </w:r>
          </w:p>
        </w:tc>
        <w:tc>
          <w:tcPr>
            <w:tcW w:w="0" w:type="auto"/>
            <w:tcBorders>
              <w:bottom w:val="single" w:sz="4" w:space="0" w:color="auto"/>
            </w:tcBorders>
            <w:noWrap/>
            <w:vAlign w:val="center"/>
            <w:hideMark/>
          </w:tcPr>
          <w:p w14:paraId="3042F996" w14:textId="77777777" w:rsidR="00576381" w:rsidRPr="00ED62DC" w:rsidRDefault="00576381" w:rsidP="00576381">
            <w:pPr>
              <w:spacing w:after="0" w:line="240" w:lineRule="auto"/>
              <w:rPr>
                <w:rFonts w:ascii="Times New Roman" w:eastAsia="Times New Roman" w:hAnsi="Times New Roman" w:cs="Times New Roman"/>
                <w:b/>
                <w:bCs/>
                <w:color w:val="000000" w:themeColor="text1"/>
                <w:kern w:val="0"/>
                <w:sz w:val="19"/>
                <w:szCs w:val="19"/>
                <w:lang w:eastAsia="en-IN"/>
                <w14:ligatures w14:val="none"/>
              </w:rPr>
            </w:pPr>
            <w:r w:rsidRPr="00ED62DC">
              <w:rPr>
                <w:rFonts w:ascii="Times New Roman" w:eastAsia="Times New Roman" w:hAnsi="Times New Roman" w:cs="Times New Roman"/>
                <w:b/>
                <w:bCs/>
                <w:color w:val="000000" w:themeColor="text1"/>
                <w:kern w:val="0"/>
                <w:sz w:val="19"/>
                <w:szCs w:val="19"/>
                <w:lang w:eastAsia="en-IN"/>
                <w14:ligatures w14:val="none"/>
              </w:rPr>
              <w:t>Qty</w:t>
            </w:r>
          </w:p>
        </w:tc>
        <w:tc>
          <w:tcPr>
            <w:tcW w:w="0" w:type="auto"/>
            <w:tcBorders>
              <w:bottom w:val="single" w:sz="4" w:space="0" w:color="auto"/>
            </w:tcBorders>
            <w:noWrap/>
            <w:vAlign w:val="center"/>
            <w:hideMark/>
          </w:tcPr>
          <w:p w14:paraId="146DBFF8" w14:textId="77777777" w:rsidR="00576381" w:rsidRPr="00ED62DC" w:rsidRDefault="00576381" w:rsidP="00576381">
            <w:pPr>
              <w:spacing w:after="0" w:line="240" w:lineRule="auto"/>
              <w:rPr>
                <w:rFonts w:ascii="Times New Roman" w:eastAsia="Times New Roman" w:hAnsi="Times New Roman" w:cs="Times New Roman"/>
                <w:b/>
                <w:bCs/>
                <w:color w:val="000000" w:themeColor="text1"/>
                <w:kern w:val="0"/>
                <w:sz w:val="19"/>
                <w:szCs w:val="19"/>
                <w:lang w:eastAsia="en-IN"/>
                <w14:ligatures w14:val="none"/>
              </w:rPr>
            </w:pPr>
            <w:r w:rsidRPr="00ED62DC">
              <w:rPr>
                <w:rFonts w:ascii="Times New Roman" w:eastAsia="Times New Roman" w:hAnsi="Times New Roman" w:cs="Times New Roman"/>
                <w:b/>
                <w:bCs/>
                <w:color w:val="000000" w:themeColor="text1"/>
                <w:kern w:val="0"/>
                <w:sz w:val="19"/>
                <w:szCs w:val="19"/>
                <w:lang w:eastAsia="en-IN"/>
                <w14:ligatures w14:val="none"/>
              </w:rPr>
              <w:t>Value</w:t>
            </w:r>
          </w:p>
        </w:tc>
        <w:tc>
          <w:tcPr>
            <w:tcW w:w="0" w:type="auto"/>
            <w:tcBorders>
              <w:bottom w:val="single" w:sz="4" w:space="0" w:color="auto"/>
            </w:tcBorders>
            <w:vAlign w:val="center"/>
            <w:hideMark/>
          </w:tcPr>
          <w:p w14:paraId="516A43B7" w14:textId="77777777" w:rsidR="00576381" w:rsidRPr="00ED62DC" w:rsidRDefault="00576381" w:rsidP="00576381">
            <w:pPr>
              <w:spacing w:after="0" w:line="240" w:lineRule="auto"/>
              <w:rPr>
                <w:rFonts w:ascii="Times New Roman" w:eastAsia="Times New Roman" w:hAnsi="Times New Roman" w:cs="Times New Roman"/>
                <w:b/>
                <w:bCs/>
                <w:color w:val="000000" w:themeColor="text1"/>
                <w:kern w:val="0"/>
                <w:sz w:val="19"/>
                <w:szCs w:val="19"/>
                <w:lang w:eastAsia="en-IN"/>
                <w14:ligatures w14:val="none"/>
              </w:rPr>
            </w:pPr>
            <w:r w:rsidRPr="00ED62DC">
              <w:rPr>
                <w:rFonts w:ascii="Times New Roman" w:eastAsia="Times New Roman" w:hAnsi="Times New Roman" w:cs="Times New Roman"/>
                <w:b/>
                <w:bCs/>
                <w:color w:val="000000" w:themeColor="text1"/>
                <w:kern w:val="0"/>
                <w:sz w:val="19"/>
                <w:szCs w:val="19"/>
                <w:lang w:eastAsia="en-IN"/>
                <w14:ligatures w14:val="none"/>
              </w:rPr>
              <w:t>Qty</w:t>
            </w:r>
          </w:p>
        </w:tc>
        <w:tc>
          <w:tcPr>
            <w:tcW w:w="0" w:type="auto"/>
            <w:tcBorders>
              <w:bottom w:val="single" w:sz="4" w:space="0" w:color="auto"/>
            </w:tcBorders>
            <w:vAlign w:val="center"/>
            <w:hideMark/>
          </w:tcPr>
          <w:p w14:paraId="74B4AD47" w14:textId="77777777" w:rsidR="00576381" w:rsidRPr="00ED62DC" w:rsidRDefault="00576381" w:rsidP="00576381">
            <w:pPr>
              <w:spacing w:after="0" w:line="240" w:lineRule="auto"/>
              <w:rPr>
                <w:rFonts w:ascii="Times New Roman" w:eastAsia="Times New Roman" w:hAnsi="Times New Roman" w:cs="Times New Roman"/>
                <w:b/>
                <w:bCs/>
                <w:color w:val="000000" w:themeColor="text1"/>
                <w:kern w:val="0"/>
                <w:sz w:val="19"/>
                <w:szCs w:val="19"/>
                <w:lang w:eastAsia="en-IN"/>
                <w14:ligatures w14:val="none"/>
              </w:rPr>
            </w:pPr>
            <w:r w:rsidRPr="00ED62DC">
              <w:rPr>
                <w:rFonts w:ascii="Times New Roman" w:eastAsia="Times New Roman" w:hAnsi="Times New Roman" w:cs="Times New Roman"/>
                <w:b/>
                <w:bCs/>
                <w:color w:val="000000" w:themeColor="text1"/>
                <w:kern w:val="0"/>
                <w:sz w:val="19"/>
                <w:szCs w:val="19"/>
                <w:lang w:eastAsia="en-IN"/>
                <w14:ligatures w14:val="none"/>
              </w:rPr>
              <w:t>Value</w:t>
            </w:r>
          </w:p>
        </w:tc>
        <w:tc>
          <w:tcPr>
            <w:tcW w:w="0" w:type="auto"/>
            <w:tcBorders>
              <w:bottom w:val="single" w:sz="4" w:space="0" w:color="auto"/>
            </w:tcBorders>
            <w:vAlign w:val="center"/>
            <w:hideMark/>
          </w:tcPr>
          <w:p w14:paraId="526868EA" w14:textId="77777777" w:rsidR="00576381" w:rsidRPr="00ED62DC" w:rsidRDefault="00576381" w:rsidP="00576381">
            <w:pPr>
              <w:spacing w:after="0" w:line="240" w:lineRule="auto"/>
              <w:rPr>
                <w:rFonts w:ascii="Times New Roman" w:eastAsia="Times New Roman" w:hAnsi="Times New Roman" w:cs="Times New Roman"/>
                <w:b/>
                <w:bCs/>
                <w:color w:val="000000" w:themeColor="text1"/>
                <w:kern w:val="0"/>
                <w:sz w:val="19"/>
                <w:szCs w:val="19"/>
                <w:lang w:eastAsia="en-IN"/>
                <w14:ligatures w14:val="none"/>
              </w:rPr>
            </w:pPr>
            <w:r w:rsidRPr="00ED62DC">
              <w:rPr>
                <w:rFonts w:ascii="Times New Roman" w:eastAsia="Times New Roman" w:hAnsi="Times New Roman" w:cs="Times New Roman"/>
                <w:b/>
                <w:bCs/>
                <w:color w:val="000000" w:themeColor="text1"/>
                <w:kern w:val="0"/>
                <w:sz w:val="19"/>
                <w:szCs w:val="19"/>
                <w:lang w:eastAsia="en-IN"/>
                <w14:ligatures w14:val="none"/>
              </w:rPr>
              <w:t>Qty</w:t>
            </w:r>
          </w:p>
        </w:tc>
        <w:tc>
          <w:tcPr>
            <w:tcW w:w="0" w:type="auto"/>
            <w:tcBorders>
              <w:bottom w:val="single" w:sz="4" w:space="0" w:color="auto"/>
            </w:tcBorders>
            <w:vAlign w:val="center"/>
            <w:hideMark/>
          </w:tcPr>
          <w:p w14:paraId="0A8DB70C" w14:textId="77777777" w:rsidR="00576381" w:rsidRPr="00ED62DC" w:rsidRDefault="00576381" w:rsidP="00576381">
            <w:pPr>
              <w:spacing w:after="0" w:line="240" w:lineRule="auto"/>
              <w:rPr>
                <w:rFonts w:ascii="Times New Roman" w:eastAsia="Times New Roman" w:hAnsi="Times New Roman" w:cs="Times New Roman"/>
                <w:b/>
                <w:bCs/>
                <w:color w:val="000000" w:themeColor="text1"/>
                <w:kern w:val="0"/>
                <w:sz w:val="19"/>
                <w:szCs w:val="19"/>
                <w:lang w:eastAsia="en-IN"/>
                <w14:ligatures w14:val="none"/>
              </w:rPr>
            </w:pPr>
            <w:r w:rsidRPr="00ED62DC">
              <w:rPr>
                <w:rFonts w:ascii="Times New Roman" w:eastAsia="Times New Roman" w:hAnsi="Times New Roman" w:cs="Times New Roman"/>
                <w:b/>
                <w:bCs/>
                <w:color w:val="000000" w:themeColor="text1"/>
                <w:kern w:val="0"/>
                <w:sz w:val="19"/>
                <w:szCs w:val="19"/>
                <w:lang w:eastAsia="en-IN"/>
                <w14:ligatures w14:val="none"/>
              </w:rPr>
              <w:t>Value</w:t>
            </w:r>
          </w:p>
        </w:tc>
      </w:tr>
      <w:tr w:rsidR="00576381" w:rsidRPr="00ED62DC" w14:paraId="07CAFCA4" w14:textId="77777777" w:rsidTr="00955CAA">
        <w:trPr>
          <w:trHeight w:val="264"/>
        </w:trPr>
        <w:tc>
          <w:tcPr>
            <w:tcW w:w="1129" w:type="dxa"/>
            <w:tcBorders>
              <w:top w:val="single" w:sz="4" w:space="0" w:color="auto"/>
            </w:tcBorders>
            <w:noWrap/>
            <w:vAlign w:val="center"/>
            <w:hideMark/>
          </w:tcPr>
          <w:p w14:paraId="086E5822" w14:textId="4194070D" w:rsidR="00576381" w:rsidRPr="00ED62DC" w:rsidRDefault="00576381" w:rsidP="00576381">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U.A.</w:t>
            </w:r>
            <w:r w:rsidR="003333BE" w:rsidRPr="00ED62DC">
              <w:rPr>
                <w:rFonts w:ascii="Times New Roman" w:eastAsia="Times New Roman" w:hAnsi="Times New Roman" w:cs="Times New Roman"/>
                <w:color w:val="000000" w:themeColor="text1"/>
                <w:kern w:val="0"/>
                <w:sz w:val="20"/>
                <w:szCs w:val="20"/>
                <w:lang w:eastAsia="en-IN"/>
                <w14:ligatures w14:val="none"/>
              </w:rPr>
              <w:t xml:space="preserve"> </w:t>
            </w:r>
            <w:r w:rsidRPr="00ED62DC">
              <w:rPr>
                <w:rFonts w:ascii="Times New Roman" w:eastAsia="Times New Roman" w:hAnsi="Times New Roman" w:cs="Times New Roman"/>
                <w:color w:val="000000" w:themeColor="text1"/>
                <w:kern w:val="0"/>
                <w:sz w:val="20"/>
                <w:szCs w:val="20"/>
                <w:lang w:eastAsia="en-IN"/>
                <w14:ligatures w14:val="none"/>
              </w:rPr>
              <w:t>E</w:t>
            </w:r>
          </w:p>
        </w:tc>
        <w:tc>
          <w:tcPr>
            <w:tcW w:w="429" w:type="dxa"/>
            <w:tcBorders>
              <w:top w:val="single" w:sz="4" w:space="0" w:color="auto"/>
            </w:tcBorders>
            <w:noWrap/>
            <w:vAlign w:val="center"/>
            <w:hideMark/>
          </w:tcPr>
          <w:p w14:paraId="0C37CD46"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4612</w:t>
            </w:r>
          </w:p>
        </w:tc>
        <w:tc>
          <w:tcPr>
            <w:tcW w:w="0" w:type="auto"/>
            <w:tcBorders>
              <w:top w:val="single" w:sz="4" w:space="0" w:color="auto"/>
            </w:tcBorders>
            <w:noWrap/>
            <w:vAlign w:val="center"/>
            <w:hideMark/>
          </w:tcPr>
          <w:p w14:paraId="53CA9D64" w14:textId="511E5CAB"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4123.77</w:t>
            </w:r>
          </w:p>
        </w:tc>
        <w:tc>
          <w:tcPr>
            <w:tcW w:w="0" w:type="auto"/>
            <w:tcBorders>
              <w:top w:val="single" w:sz="4" w:space="0" w:color="auto"/>
            </w:tcBorders>
            <w:noWrap/>
            <w:vAlign w:val="center"/>
            <w:hideMark/>
          </w:tcPr>
          <w:p w14:paraId="1F04F08E"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5925.71</w:t>
            </w:r>
          </w:p>
        </w:tc>
        <w:tc>
          <w:tcPr>
            <w:tcW w:w="0" w:type="auto"/>
            <w:tcBorders>
              <w:top w:val="single" w:sz="4" w:space="0" w:color="auto"/>
            </w:tcBorders>
            <w:noWrap/>
            <w:vAlign w:val="center"/>
            <w:hideMark/>
          </w:tcPr>
          <w:p w14:paraId="1B8D284B"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6855.87</w:t>
            </w:r>
          </w:p>
        </w:tc>
        <w:tc>
          <w:tcPr>
            <w:tcW w:w="0" w:type="auto"/>
            <w:tcBorders>
              <w:top w:val="single" w:sz="4" w:space="0" w:color="auto"/>
            </w:tcBorders>
            <w:noWrap/>
            <w:vAlign w:val="center"/>
            <w:hideMark/>
          </w:tcPr>
          <w:p w14:paraId="114F7B46"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12756.43</w:t>
            </w:r>
          </w:p>
        </w:tc>
        <w:tc>
          <w:tcPr>
            <w:tcW w:w="0" w:type="auto"/>
            <w:tcBorders>
              <w:top w:val="single" w:sz="4" w:space="0" w:color="auto"/>
            </w:tcBorders>
            <w:noWrap/>
            <w:vAlign w:val="center"/>
            <w:hideMark/>
          </w:tcPr>
          <w:p w14:paraId="3138DE7C"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10426.58</w:t>
            </w:r>
          </w:p>
        </w:tc>
        <w:tc>
          <w:tcPr>
            <w:tcW w:w="0" w:type="auto"/>
            <w:tcBorders>
              <w:top w:val="single" w:sz="4" w:space="0" w:color="auto"/>
            </w:tcBorders>
            <w:noWrap/>
            <w:vAlign w:val="center"/>
            <w:hideMark/>
          </w:tcPr>
          <w:p w14:paraId="6DBBFB68"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10117.11</w:t>
            </w:r>
          </w:p>
        </w:tc>
        <w:tc>
          <w:tcPr>
            <w:tcW w:w="0" w:type="auto"/>
            <w:tcBorders>
              <w:top w:val="single" w:sz="4" w:space="0" w:color="auto"/>
            </w:tcBorders>
            <w:noWrap/>
            <w:vAlign w:val="center"/>
            <w:hideMark/>
          </w:tcPr>
          <w:p w14:paraId="5FA8C61B"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9072.58</w:t>
            </w:r>
          </w:p>
        </w:tc>
        <w:tc>
          <w:tcPr>
            <w:tcW w:w="0" w:type="auto"/>
            <w:tcBorders>
              <w:top w:val="single" w:sz="4" w:space="0" w:color="auto"/>
            </w:tcBorders>
            <w:vAlign w:val="center"/>
            <w:hideMark/>
          </w:tcPr>
          <w:p w14:paraId="68C4E76D"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8512</w:t>
            </w:r>
          </w:p>
        </w:tc>
        <w:tc>
          <w:tcPr>
            <w:tcW w:w="0" w:type="auto"/>
            <w:tcBorders>
              <w:top w:val="single" w:sz="4" w:space="0" w:color="auto"/>
            </w:tcBorders>
            <w:vAlign w:val="center"/>
            <w:hideMark/>
          </w:tcPr>
          <w:p w14:paraId="64EF36D5"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8449.15</w:t>
            </w:r>
          </w:p>
        </w:tc>
        <w:tc>
          <w:tcPr>
            <w:tcW w:w="0" w:type="auto"/>
            <w:tcBorders>
              <w:top w:val="single" w:sz="4" w:space="0" w:color="auto"/>
            </w:tcBorders>
            <w:noWrap/>
            <w:hideMark/>
          </w:tcPr>
          <w:p w14:paraId="48177B58"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-15.87</w:t>
            </w:r>
          </w:p>
        </w:tc>
        <w:tc>
          <w:tcPr>
            <w:tcW w:w="0" w:type="auto"/>
            <w:tcBorders>
              <w:top w:val="single" w:sz="4" w:space="0" w:color="auto"/>
            </w:tcBorders>
            <w:noWrap/>
            <w:hideMark/>
          </w:tcPr>
          <w:p w14:paraId="47E3C35F"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-6.87</w:t>
            </w:r>
          </w:p>
        </w:tc>
      </w:tr>
      <w:tr w:rsidR="00576381" w:rsidRPr="00ED62DC" w14:paraId="1AF29127" w14:textId="77777777" w:rsidTr="00955CAA">
        <w:trPr>
          <w:trHeight w:val="264"/>
        </w:trPr>
        <w:tc>
          <w:tcPr>
            <w:tcW w:w="1129" w:type="dxa"/>
            <w:noWrap/>
            <w:vAlign w:val="center"/>
            <w:hideMark/>
          </w:tcPr>
          <w:p w14:paraId="114ACCFD" w14:textId="77777777" w:rsidR="00576381" w:rsidRPr="00ED62DC" w:rsidRDefault="00576381" w:rsidP="00576381">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Saudi Arabia</w:t>
            </w:r>
          </w:p>
        </w:tc>
        <w:tc>
          <w:tcPr>
            <w:tcW w:w="429" w:type="dxa"/>
            <w:noWrap/>
            <w:vAlign w:val="center"/>
            <w:hideMark/>
          </w:tcPr>
          <w:p w14:paraId="7DA6BC3B"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3078.76</w:t>
            </w:r>
          </w:p>
        </w:tc>
        <w:tc>
          <w:tcPr>
            <w:tcW w:w="0" w:type="auto"/>
            <w:noWrap/>
            <w:vAlign w:val="center"/>
            <w:hideMark/>
          </w:tcPr>
          <w:p w14:paraId="009017BA"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2814.05</w:t>
            </w:r>
          </w:p>
        </w:tc>
        <w:tc>
          <w:tcPr>
            <w:tcW w:w="0" w:type="auto"/>
            <w:noWrap/>
            <w:vAlign w:val="center"/>
            <w:hideMark/>
          </w:tcPr>
          <w:p w14:paraId="32EAEA73"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3961.7</w:t>
            </w:r>
          </w:p>
        </w:tc>
        <w:tc>
          <w:tcPr>
            <w:tcW w:w="0" w:type="auto"/>
            <w:noWrap/>
            <w:vAlign w:val="center"/>
            <w:hideMark/>
          </w:tcPr>
          <w:p w14:paraId="79311A3D"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4643.67</w:t>
            </w:r>
          </w:p>
        </w:tc>
        <w:tc>
          <w:tcPr>
            <w:tcW w:w="0" w:type="auto"/>
            <w:noWrap/>
            <w:vAlign w:val="center"/>
            <w:hideMark/>
          </w:tcPr>
          <w:p w14:paraId="6BC8810B"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5253.56</w:t>
            </w:r>
          </w:p>
        </w:tc>
        <w:tc>
          <w:tcPr>
            <w:tcW w:w="0" w:type="auto"/>
            <w:noWrap/>
            <w:vAlign w:val="center"/>
            <w:hideMark/>
          </w:tcPr>
          <w:p w14:paraId="060B745E"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4774.44</w:t>
            </w:r>
          </w:p>
        </w:tc>
        <w:tc>
          <w:tcPr>
            <w:tcW w:w="0" w:type="auto"/>
            <w:noWrap/>
            <w:vAlign w:val="center"/>
            <w:hideMark/>
          </w:tcPr>
          <w:p w14:paraId="007BE6E3"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4464.67</w:t>
            </w:r>
          </w:p>
        </w:tc>
        <w:tc>
          <w:tcPr>
            <w:tcW w:w="0" w:type="auto"/>
            <w:noWrap/>
            <w:vAlign w:val="center"/>
            <w:hideMark/>
          </w:tcPr>
          <w:p w14:paraId="2C553070"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4436.24</w:t>
            </w:r>
          </w:p>
        </w:tc>
        <w:tc>
          <w:tcPr>
            <w:tcW w:w="0" w:type="auto"/>
            <w:vAlign w:val="center"/>
            <w:hideMark/>
          </w:tcPr>
          <w:p w14:paraId="5B300557"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5328</w:t>
            </w:r>
          </w:p>
        </w:tc>
        <w:tc>
          <w:tcPr>
            <w:tcW w:w="0" w:type="auto"/>
            <w:vAlign w:val="center"/>
            <w:hideMark/>
          </w:tcPr>
          <w:p w14:paraId="5C49B8FA"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5170.93</w:t>
            </w:r>
          </w:p>
        </w:tc>
        <w:tc>
          <w:tcPr>
            <w:tcW w:w="0" w:type="auto"/>
            <w:noWrap/>
            <w:hideMark/>
          </w:tcPr>
          <w:p w14:paraId="134A333A"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19.34</w:t>
            </w:r>
          </w:p>
        </w:tc>
        <w:tc>
          <w:tcPr>
            <w:tcW w:w="0" w:type="auto"/>
            <w:noWrap/>
            <w:hideMark/>
          </w:tcPr>
          <w:p w14:paraId="209BFAD5"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16.56</w:t>
            </w:r>
          </w:p>
        </w:tc>
      </w:tr>
      <w:tr w:rsidR="00576381" w:rsidRPr="00ED62DC" w14:paraId="43696835" w14:textId="77777777" w:rsidTr="00955CAA">
        <w:trPr>
          <w:trHeight w:val="264"/>
        </w:trPr>
        <w:tc>
          <w:tcPr>
            <w:tcW w:w="1129" w:type="dxa"/>
            <w:noWrap/>
            <w:vAlign w:val="center"/>
            <w:hideMark/>
          </w:tcPr>
          <w:p w14:paraId="66B73B7D" w14:textId="77777777" w:rsidR="00576381" w:rsidRPr="00ED62DC" w:rsidRDefault="00576381" w:rsidP="00576381">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Qatar</w:t>
            </w:r>
          </w:p>
        </w:tc>
        <w:tc>
          <w:tcPr>
            <w:tcW w:w="429" w:type="dxa"/>
            <w:noWrap/>
            <w:vAlign w:val="center"/>
            <w:hideMark/>
          </w:tcPr>
          <w:p w14:paraId="1E721EB4"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1375.05</w:t>
            </w:r>
          </w:p>
        </w:tc>
        <w:tc>
          <w:tcPr>
            <w:tcW w:w="0" w:type="auto"/>
            <w:noWrap/>
            <w:vAlign w:val="center"/>
            <w:hideMark/>
          </w:tcPr>
          <w:p w14:paraId="1B108F46"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1319.09</w:t>
            </w:r>
          </w:p>
        </w:tc>
        <w:tc>
          <w:tcPr>
            <w:tcW w:w="0" w:type="auto"/>
            <w:noWrap/>
            <w:vAlign w:val="center"/>
            <w:hideMark/>
          </w:tcPr>
          <w:p w14:paraId="65552687"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1312.11</w:t>
            </w:r>
          </w:p>
        </w:tc>
        <w:tc>
          <w:tcPr>
            <w:tcW w:w="0" w:type="auto"/>
            <w:noWrap/>
            <w:vAlign w:val="center"/>
            <w:hideMark/>
          </w:tcPr>
          <w:p w14:paraId="0EB3E86E"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1721.99</w:t>
            </w:r>
          </w:p>
        </w:tc>
        <w:tc>
          <w:tcPr>
            <w:tcW w:w="0" w:type="auto"/>
            <w:noWrap/>
            <w:vAlign w:val="center"/>
            <w:hideMark/>
          </w:tcPr>
          <w:p w14:paraId="26E88035"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1093.38</w:t>
            </w:r>
          </w:p>
        </w:tc>
        <w:tc>
          <w:tcPr>
            <w:tcW w:w="0" w:type="auto"/>
            <w:noWrap/>
            <w:vAlign w:val="center"/>
            <w:hideMark/>
          </w:tcPr>
          <w:p w14:paraId="408B263A"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1336.13</w:t>
            </w:r>
          </w:p>
        </w:tc>
        <w:tc>
          <w:tcPr>
            <w:tcW w:w="0" w:type="auto"/>
            <w:noWrap/>
            <w:vAlign w:val="center"/>
            <w:hideMark/>
          </w:tcPr>
          <w:p w14:paraId="35466905"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1035.18</w:t>
            </w:r>
          </w:p>
        </w:tc>
        <w:tc>
          <w:tcPr>
            <w:tcW w:w="0" w:type="auto"/>
            <w:noWrap/>
            <w:vAlign w:val="center"/>
            <w:hideMark/>
          </w:tcPr>
          <w:p w14:paraId="6937B882"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1338.55</w:t>
            </w:r>
          </w:p>
        </w:tc>
        <w:tc>
          <w:tcPr>
            <w:tcW w:w="0" w:type="auto"/>
            <w:vAlign w:val="center"/>
            <w:hideMark/>
          </w:tcPr>
          <w:p w14:paraId="19AE4F4F"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781</w:t>
            </w:r>
          </w:p>
        </w:tc>
        <w:tc>
          <w:tcPr>
            <w:tcW w:w="0" w:type="auto"/>
            <w:vAlign w:val="center"/>
            <w:hideMark/>
          </w:tcPr>
          <w:p w14:paraId="4F255BBF"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987.37</w:t>
            </w:r>
          </w:p>
        </w:tc>
        <w:tc>
          <w:tcPr>
            <w:tcW w:w="0" w:type="auto"/>
            <w:noWrap/>
            <w:hideMark/>
          </w:tcPr>
          <w:p w14:paraId="673D8441"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-24.55</w:t>
            </w:r>
          </w:p>
        </w:tc>
        <w:tc>
          <w:tcPr>
            <w:tcW w:w="0" w:type="auto"/>
            <w:noWrap/>
            <w:hideMark/>
          </w:tcPr>
          <w:p w14:paraId="3E079199"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-26.24</w:t>
            </w:r>
          </w:p>
        </w:tc>
      </w:tr>
      <w:tr w:rsidR="00576381" w:rsidRPr="00ED62DC" w14:paraId="30DC4E11" w14:textId="77777777" w:rsidTr="00955CAA">
        <w:trPr>
          <w:trHeight w:val="264"/>
        </w:trPr>
        <w:tc>
          <w:tcPr>
            <w:tcW w:w="1129" w:type="dxa"/>
            <w:noWrap/>
            <w:vAlign w:val="center"/>
            <w:hideMark/>
          </w:tcPr>
          <w:p w14:paraId="3DCF99FD" w14:textId="77777777" w:rsidR="00576381" w:rsidRPr="00ED62DC" w:rsidRDefault="00576381" w:rsidP="00576381">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Kuwait</w:t>
            </w:r>
          </w:p>
        </w:tc>
        <w:tc>
          <w:tcPr>
            <w:tcW w:w="429" w:type="dxa"/>
            <w:noWrap/>
            <w:vAlign w:val="center"/>
            <w:hideMark/>
          </w:tcPr>
          <w:p w14:paraId="6053457E"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644.37</w:t>
            </w:r>
          </w:p>
        </w:tc>
        <w:tc>
          <w:tcPr>
            <w:tcW w:w="0" w:type="auto"/>
            <w:noWrap/>
            <w:vAlign w:val="center"/>
            <w:hideMark/>
          </w:tcPr>
          <w:p w14:paraId="759DD0A8"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745.12</w:t>
            </w:r>
          </w:p>
        </w:tc>
        <w:tc>
          <w:tcPr>
            <w:tcW w:w="0" w:type="auto"/>
            <w:noWrap/>
            <w:vAlign w:val="center"/>
            <w:hideMark/>
          </w:tcPr>
          <w:p w14:paraId="425AADB9"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619.92</w:t>
            </w:r>
          </w:p>
        </w:tc>
        <w:tc>
          <w:tcPr>
            <w:tcW w:w="0" w:type="auto"/>
            <w:noWrap/>
            <w:vAlign w:val="center"/>
            <w:hideMark/>
          </w:tcPr>
          <w:p w14:paraId="2BC7733E"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893.93</w:t>
            </w:r>
          </w:p>
        </w:tc>
        <w:tc>
          <w:tcPr>
            <w:tcW w:w="0" w:type="auto"/>
            <w:noWrap/>
            <w:vAlign w:val="center"/>
            <w:hideMark/>
          </w:tcPr>
          <w:p w14:paraId="1D9CCD9E"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872.57</w:t>
            </w:r>
          </w:p>
        </w:tc>
        <w:tc>
          <w:tcPr>
            <w:tcW w:w="0" w:type="auto"/>
            <w:noWrap/>
            <w:vAlign w:val="center"/>
            <w:hideMark/>
          </w:tcPr>
          <w:p w14:paraId="2388F3CD"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1021.55</w:t>
            </w:r>
          </w:p>
        </w:tc>
        <w:tc>
          <w:tcPr>
            <w:tcW w:w="0" w:type="auto"/>
            <w:noWrap/>
            <w:vAlign w:val="center"/>
            <w:hideMark/>
          </w:tcPr>
          <w:p w14:paraId="57FDCB4D"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921.03</w:t>
            </w:r>
          </w:p>
        </w:tc>
        <w:tc>
          <w:tcPr>
            <w:tcW w:w="0" w:type="auto"/>
            <w:noWrap/>
            <w:vAlign w:val="center"/>
            <w:hideMark/>
          </w:tcPr>
          <w:p w14:paraId="3E6D1BEB"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1175.85</w:t>
            </w:r>
          </w:p>
        </w:tc>
        <w:tc>
          <w:tcPr>
            <w:tcW w:w="0" w:type="auto"/>
            <w:vAlign w:val="center"/>
            <w:hideMark/>
          </w:tcPr>
          <w:p w14:paraId="7AD4E321"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815</w:t>
            </w:r>
          </w:p>
        </w:tc>
        <w:tc>
          <w:tcPr>
            <w:tcW w:w="0" w:type="auto"/>
            <w:vAlign w:val="center"/>
            <w:hideMark/>
          </w:tcPr>
          <w:p w14:paraId="541A643F"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1036.5</w:t>
            </w:r>
          </w:p>
        </w:tc>
        <w:tc>
          <w:tcPr>
            <w:tcW w:w="0" w:type="auto"/>
            <w:noWrap/>
            <w:hideMark/>
          </w:tcPr>
          <w:p w14:paraId="13849716"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-11.51</w:t>
            </w:r>
          </w:p>
        </w:tc>
        <w:tc>
          <w:tcPr>
            <w:tcW w:w="0" w:type="auto"/>
            <w:noWrap/>
            <w:hideMark/>
          </w:tcPr>
          <w:p w14:paraId="60A4E46F"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-11.85</w:t>
            </w:r>
          </w:p>
        </w:tc>
      </w:tr>
      <w:tr w:rsidR="00576381" w:rsidRPr="00ED62DC" w14:paraId="1DF8F371" w14:textId="77777777" w:rsidTr="00955CAA">
        <w:trPr>
          <w:trHeight w:val="264"/>
        </w:trPr>
        <w:tc>
          <w:tcPr>
            <w:tcW w:w="1129" w:type="dxa"/>
            <w:noWrap/>
            <w:vAlign w:val="center"/>
            <w:hideMark/>
          </w:tcPr>
          <w:p w14:paraId="0EABB08E" w14:textId="77777777" w:rsidR="00576381" w:rsidRPr="00ED62DC" w:rsidRDefault="00576381" w:rsidP="00576381">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Oman</w:t>
            </w:r>
          </w:p>
        </w:tc>
        <w:tc>
          <w:tcPr>
            <w:tcW w:w="429" w:type="dxa"/>
            <w:noWrap/>
            <w:vAlign w:val="center"/>
            <w:hideMark/>
          </w:tcPr>
          <w:p w14:paraId="6BA0EAE9"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924.51</w:t>
            </w:r>
          </w:p>
        </w:tc>
        <w:tc>
          <w:tcPr>
            <w:tcW w:w="0" w:type="auto"/>
            <w:noWrap/>
            <w:vAlign w:val="center"/>
            <w:hideMark/>
          </w:tcPr>
          <w:p w14:paraId="1760D6BF"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873.45</w:t>
            </w:r>
          </w:p>
        </w:tc>
        <w:tc>
          <w:tcPr>
            <w:tcW w:w="0" w:type="auto"/>
            <w:noWrap/>
            <w:vAlign w:val="center"/>
            <w:hideMark/>
          </w:tcPr>
          <w:p w14:paraId="791B18A7"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693.92</w:t>
            </w:r>
          </w:p>
        </w:tc>
        <w:tc>
          <w:tcPr>
            <w:tcW w:w="0" w:type="auto"/>
            <w:noWrap/>
            <w:vAlign w:val="center"/>
            <w:hideMark/>
          </w:tcPr>
          <w:p w14:paraId="1F8DB282"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837.65</w:t>
            </w:r>
          </w:p>
        </w:tc>
        <w:tc>
          <w:tcPr>
            <w:tcW w:w="0" w:type="auto"/>
            <w:noWrap/>
            <w:vAlign w:val="center"/>
            <w:hideMark/>
          </w:tcPr>
          <w:p w14:paraId="1A05F82D"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692.49</w:t>
            </w:r>
          </w:p>
        </w:tc>
        <w:tc>
          <w:tcPr>
            <w:tcW w:w="0" w:type="auto"/>
            <w:noWrap/>
            <w:vAlign w:val="center"/>
            <w:hideMark/>
          </w:tcPr>
          <w:p w14:paraId="720E8CBE"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645.08</w:t>
            </w:r>
          </w:p>
        </w:tc>
        <w:tc>
          <w:tcPr>
            <w:tcW w:w="0" w:type="auto"/>
            <w:noWrap/>
            <w:vAlign w:val="center"/>
            <w:hideMark/>
          </w:tcPr>
          <w:p w14:paraId="333A5048"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974.85</w:t>
            </w:r>
          </w:p>
        </w:tc>
        <w:tc>
          <w:tcPr>
            <w:tcW w:w="0" w:type="auto"/>
            <w:noWrap/>
            <w:vAlign w:val="center"/>
            <w:hideMark/>
          </w:tcPr>
          <w:p w14:paraId="5F26AC5A"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944.86</w:t>
            </w:r>
          </w:p>
        </w:tc>
        <w:tc>
          <w:tcPr>
            <w:tcW w:w="0" w:type="auto"/>
            <w:vAlign w:val="center"/>
            <w:hideMark/>
          </w:tcPr>
          <w:p w14:paraId="69AEDC7F"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1116</w:t>
            </w:r>
          </w:p>
        </w:tc>
        <w:tc>
          <w:tcPr>
            <w:tcW w:w="0" w:type="auto"/>
            <w:vAlign w:val="center"/>
            <w:hideMark/>
          </w:tcPr>
          <w:p w14:paraId="744DF23D"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1118.1</w:t>
            </w:r>
          </w:p>
        </w:tc>
        <w:tc>
          <w:tcPr>
            <w:tcW w:w="0" w:type="auto"/>
            <w:noWrap/>
            <w:hideMark/>
          </w:tcPr>
          <w:p w14:paraId="6D5302E5"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14.48</w:t>
            </w:r>
          </w:p>
        </w:tc>
        <w:tc>
          <w:tcPr>
            <w:tcW w:w="0" w:type="auto"/>
            <w:noWrap/>
            <w:hideMark/>
          </w:tcPr>
          <w:p w14:paraId="24A30B65"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18.33</w:t>
            </w:r>
          </w:p>
        </w:tc>
      </w:tr>
      <w:tr w:rsidR="00576381" w:rsidRPr="00ED62DC" w14:paraId="333E46AD" w14:textId="77777777" w:rsidTr="00955CAA">
        <w:trPr>
          <w:trHeight w:val="264"/>
        </w:trPr>
        <w:tc>
          <w:tcPr>
            <w:tcW w:w="1129" w:type="dxa"/>
            <w:noWrap/>
            <w:vAlign w:val="center"/>
            <w:hideMark/>
          </w:tcPr>
          <w:p w14:paraId="729FF00B" w14:textId="77777777" w:rsidR="00576381" w:rsidRPr="00ED62DC" w:rsidRDefault="00576381" w:rsidP="00576381">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Yemen north</w:t>
            </w:r>
          </w:p>
        </w:tc>
        <w:tc>
          <w:tcPr>
            <w:tcW w:w="429" w:type="dxa"/>
            <w:noWrap/>
            <w:vAlign w:val="center"/>
            <w:hideMark/>
          </w:tcPr>
          <w:p w14:paraId="7CC8C676"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742.3</w:t>
            </w:r>
          </w:p>
        </w:tc>
        <w:tc>
          <w:tcPr>
            <w:tcW w:w="0" w:type="auto"/>
            <w:noWrap/>
            <w:vAlign w:val="center"/>
            <w:hideMark/>
          </w:tcPr>
          <w:p w14:paraId="3D728F6F"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659.47</w:t>
            </w:r>
          </w:p>
        </w:tc>
        <w:tc>
          <w:tcPr>
            <w:tcW w:w="0" w:type="auto"/>
            <w:noWrap/>
            <w:vAlign w:val="center"/>
            <w:hideMark/>
          </w:tcPr>
          <w:p w14:paraId="6EF564D2"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363.3</w:t>
            </w:r>
          </w:p>
        </w:tc>
        <w:tc>
          <w:tcPr>
            <w:tcW w:w="0" w:type="auto"/>
            <w:noWrap/>
            <w:vAlign w:val="center"/>
            <w:hideMark/>
          </w:tcPr>
          <w:p w14:paraId="5729C1C7"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337.56</w:t>
            </w:r>
          </w:p>
        </w:tc>
        <w:tc>
          <w:tcPr>
            <w:tcW w:w="0" w:type="auto"/>
            <w:noWrap/>
            <w:vAlign w:val="center"/>
            <w:hideMark/>
          </w:tcPr>
          <w:p w14:paraId="77FBC1F0"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884.83</w:t>
            </w:r>
          </w:p>
        </w:tc>
        <w:tc>
          <w:tcPr>
            <w:tcW w:w="0" w:type="auto"/>
            <w:noWrap/>
            <w:vAlign w:val="center"/>
            <w:hideMark/>
          </w:tcPr>
          <w:p w14:paraId="104BFB71"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640.29</w:t>
            </w:r>
          </w:p>
        </w:tc>
        <w:tc>
          <w:tcPr>
            <w:tcW w:w="0" w:type="auto"/>
            <w:noWrap/>
            <w:vAlign w:val="center"/>
            <w:hideMark/>
          </w:tcPr>
          <w:p w14:paraId="4DF9DD37"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436.53</w:t>
            </w:r>
          </w:p>
        </w:tc>
        <w:tc>
          <w:tcPr>
            <w:tcW w:w="0" w:type="auto"/>
            <w:noWrap/>
            <w:vAlign w:val="center"/>
            <w:hideMark/>
          </w:tcPr>
          <w:p w14:paraId="05A8658B"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355.42</w:t>
            </w:r>
          </w:p>
        </w:tc>
        <w:tc>
          <w:tcPr>
            <w:tcW w:w="0" w:type="auto"/>
            <w:vAlign w:val="center"/>
            <w:hideMark/>
          </w:tcPr>
          <w:p w14:paraId="284C41D1"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620</w:t>
            </w:r>
          </w:p>
        </w:tc>
        <w:tc>
          <w:tcPr>
            <w:tcW w:w="0" w:type="auto"/>
            <w:vAlign w:val="center"/>
            <w:hideMark/>
          </w:tcPr>
          <w:p w14:paraId="1085AADF"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516.6</w:t>
            </w:r>
          </w:p>
        </w:tc>
        <w:tc>
          <w:tcPr>
            <w:tcW w:w="0" w:type="auto"/>
            <w:noWrap/>
            <w:hideMark/>
          </w:tcPr>
          <w:p w14:paraId="72F8EC79"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42.03</w:t>
            </w:r>
          </w:p>
        </w:tc>
        <w:tc>
          <w:tcPr>
            <w:tcW w:w="0" w:type="auto"/>
            <w:noWrap/>
            <w:hideMark/>
          </w:tcPr>
          <w:p w14:paraId="5294D864"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45.35</w:t>
            </w:r>
          </w:p>
        </w:tc>
      </w:tr>
      <w:tr w:rsidR="00576381" w:rsidRPr="00ED62DC" w14:paraId="61B34BD1" w14:textId="77777777" w:rsidTr="00955CAA">
        <w:trPr>
          <w:trHeight w:val="264"/>
        </w:trPr>
        <w:tc>
          <w:tcPr>
            <w:tcW w:w="1129" w:type="dxa"/>
            <w:noWrap/>
            <w:vAlign w:val="center"/>
            <w:hideMark/>
          </w:tcPr>
          <w:p w14:paraId="772A2639" w14:textId="77777777" w:rsidR="00576381" w:rsidRPr="00ED62DC" w:rsidRDefault="00576381" w:rsidP="00576381">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Iraq</w:t>
            </w:r>
          </w:p>
        </w:tc>
        <w:tc>
          <w:tcPr>
            <w:tcW w:w="429" w:type="dxa"/>
            <w:noWrap/>
            <w:vAlign w:val="center"/>
            <w:hideMark/>
          </w:tcPr>
          <w:p w14:paraId="27094E92"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54</w:t>
            </w:r>
          </w:p>
        </w:tc>
        <w:tc>
          <w:tcPr>
            <w:tcW w:w="0" w:type="auto"/>
            <w:noWrap/>
            <w:vAlign w:val="center"/>
            <w:hideMark/>
          </w:tcPr>
          <w:p w14:paraId="2B18063D"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38.63</w:t>
            </w:r>
          </w:p>
        </w:tc>
        <w:tc>
          <w:tcPr>
            <w:tcW w:w="0" w:type="auto"/>
            <w:noWrap/>
            <w:vAlign w:val="center"/>
            <w:hideMark/>
          </w:tcPr>
          <w:p w14:paraId="53B42BC6"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14.2</w:t>
            </w:r>
          </w:p>
        </w:tc>
        <w:tc>
          <w:tcPr>
            <w:tcW w:w="0" w:type="auto"/>
            <w:noWrap/>
            <w:vAlign w:val="center"/>
            <w:hideMark/>
          </w:tcPr>
          <w:p w14:paraId="42002E0F"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13.23</w:t>
            </w:r>
          </w:p>
        </w:tc>
        <w:tc>
          <w:tcPr>
            <w:tcW w:w="0" w:type="auto"/>
            <w:noWrap/>
            <w:vAlign w:val="center"/>
            <w:hideMark/>
          </w:tcPr>
          <w:p w14:paraId="1BF3DB34"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298.19</w:t>
            </w:r>
          </w:p>
        </w:tc>
        <w:tc>
          <w:tcPr>
            <w:tcW w:w="0" w:type="auto"/>
            <w:noWrap/>
            <w:vAlign w:val="center"/>
            <w:hideMark/>
          </w:tcPr>
          <w:p w14:paraId="752D26FD"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256.1</w:t>
            </w:r>
          </w:p>
        </w:tc>
        <w:tc>
          <w:tcPr>
            <w:tcW w:w="0" w:type="auto"/>
            <w:noWrap/>
            <w:vAlign w:val="center"/>
            <w:hideMark/>
          </w:tcPr>
          <w:p w14:paraId="603DB497"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340.43</w:t>
            </w:r>
          </w:p>
        </w:tc>
        <w:tc>
          <w:tcPr>
            <w:tcW w:w="0" w:type="auto"/>
            <w:noWrap/>
            <w:vAlign w:val="center"/>
            <w:hideMark/>
          </w:tcPr>
          <w:p w14:paraId="3A45E849"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326</w:t>
            </w:r>
          </w:p>
        </w:tc>
        <w:tc>
          <w:tcPr>
            <w:tcW w:w="0" w:type="auto"/>
            <w:vAlign w:val="center"/>
            <w:hideMark/>
          </w:tcPr>
          <w:p w14:paraId="26ED13C9"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740</w:t>
            </w:r>
          </w:p>
        </w:tc>
        <w:tc>
          <w:tcPr>
            <w:tcW w:w="0" w:type="auto"/>
            <w:vAlign w:val="center"/>
            <w:hideMark/>
          </w:tcPr>
          <w:p w14:paraId="701CC2A2"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692.32</w:t>
            </w:r>
          </w:p>
        </w:tc>
        <w:tc>
          <w:tcPr>
            <w:tcW w:w="0" w:type="auto"/>
            <w:noWrap/>
            <w:hideMark/>
          </w:tcPr>
          <w:p w14:paraId="1A63BF09"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117.37</w:t>
            </w:r>
          </w:p>
        </w:tc>
        <w:tc>
          <w:tcPr>
            <w:tcW w:w="0" w:type="auto"/>
            <w:noWrap/>
            <w:hideMark/>
          </w:tcPr>
          <w:p w14:paraId="7FA46B3F"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112.37</w:t>
            </w:r>
          </w:p>
        </w:tc>
      </w:tr>
      <w:tr w:rsidR="00576381" w:rsidRPr="00ED62DC" w14:paraId="0AEF9EF8" w14:textId="77777777" w:rsidTr="00955CAA">
        <w:trPr>
          <w:trHeight w:val="264"/>
        </w:trPr>
        <w:tc>
          <w:tcPr>
            <w:tcW w:w="1129" w:type="dxa"/>
            <w:noWrap/>
            <w:vAlign w:val="center"/>
            <w:hideMark/>
          </w:tcPr>
          <w:p w14:paraId="36707B8D" w14:textId="77777777" w:rsidR="00576381" w:rsidRPr="00ED62DC" w:rsidRDefault="00576381" w:rsidP="00576381">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Iran</w:t>
            </w:r>
          </w:p>
        </w:tc>
        <w:tc>
          <w:tcPr>
            <w:tcW w:w="429" w:type="dxa"/>
            <w:noWrap/>
            <w:vAlign w:val="center"/>
            <w:hideMark/>
          </w:tcPr>
          <w:p w14:paraId="144095E9"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132.04</w:t>
            </w:r>
          </w:p>
        </w:tc>
        <w:tc>
          <w:tcPr>
            <w:tcW w:w="0" w:type="auto"/>
            <w:noWrap/>
            <w:vAlign w:val="center"/>
            <w:hideMark/>
          </w:tcPr>
          <w:p w14:paraId="0CC3BC47"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107.77</w:t>
            </w:r>
          </w:p>
        </w:tc>
        <w:tc>
          <w:tcPr>
            <w:tcW w:w="0" w:type="auto"/>
            <w:noWrap/>
            <w:vAlign w:val="center"/>
            <w:hideMark/>
          </w:tcPr>
          <w:p w14:paraId="4C1A9ED9"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287.4</w:t>
            </w:r>
          </w:p>
        </w:tc>
        <w:tc>
          <w:tcPr>
            <w:tcW w:w="0" w:type="auto"/>
            <w:noWrap/>
            <w:vAlign w:val="center"/>
            <w:hideMark/>
          </w:tcPr>
          <w:p w14:paraId="344CC75F"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183.77</w:t>
            </w:r>
          </w:p>
        </w:tc>
        <w:tc>
          <w:tcPr>
            <w:tcW w:w="0" w:type="auto"/>
            <w:noWrap/>
            <w:vAlign w:val="center"/>
            <w:hideMark/>
          </w:tcPr>
          <w:p w14:paraId="00894781"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1984.3</w:t>
            </w:r>
          </w:p>
        </w:tc>
        <w:tc>
          <w:tcPr>
            <w:tcW w:w="0" w:type="auto"/>
            <w:noWrap/>
            <w:vAlign w:val="center"/>
            <w:hideMark/>
          </w:tcPr>
          <w:p w14:paraId="2D88D7FC"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1319.7</w:t>
            </w:r>
          </w:p>
        </w:tc>
        <w:tc>
          <w:tcPr>
            <w:tcW w:w="0" w:type="auto"/>
            <w:noWrap/>
            <w:vAlign w:val="center"/>
            <w:hideMark/>
          </w:tcPr>
          <w:p w14:paraId="75D2BA42"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85.81</w:t>
            </w:r>
          </w:p>
        </w:tc>
        <w:tc>
          <w:tcPr>
            <w:tcW w:w="0" w:type="auto"/>
            <w:noWrap/>
            <w:vAlign w:val="center"/>
            <w:hideMark/>
          </w:tcPr>
          <w:p w14:paraId="304067E8"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66.22</w:t>
            </w:r>
          </w:p>
        </w:tc>
        <w:tc>
          <w:tcPr>
            <w:tcW w:w="0" w:type="auto"/>
            <w:vAlign w:val="center"/>
            <w:hideMark/>
          </w:tcPr>
          <w:p w14:paraId="31DEFD22"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0</w:t>
            </w:r>
          </w:p>
        </w:tc>
        <w:tc>
          <w:tcPr>
            <w:tcW w:w="0" w:type="auto"/>
            <w:vAlign w:val="center"/>
            <w:hideMark/>
          </w:tcPr>
          <w:p w14:paraId="52A1D0A0"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0</w:t>
            </w:r>
          </w:p>
        </w:tc>
        <w:tc>
          <w:tcPr>
            <w:tcW w:w="0" w:type="auto"/>
            <w:noWrap/>
            <w:hideMark/>
          </w:tcPr>
          <w:p w14:paraId="24CD6AB6"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-100.00</w:t>
            </w:r>
          </w:p>
        </w:tc>
        <w:tc>
          <w:tcPr>
            <w:tcW w:w="0" w:type="auto"/>
            <w:noWrap/>
            <w:hideMark/>
          </w:tcPr>
          <w:p w14:paraId="778380C3"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-100.00</w:t>
            </w:r>
          </w:p>
        </w:tc>
      </w:tr>
      <w:tr w:rsidR="00576381" w:rsidRPr="00ED62DC" w14:paraId="347EDEF7" w14:textId="77777777" w:rsidTr="00955CAA">
        <w:trPr>
          <w:trHeight w:val="264"/>
        </w:trPr>
        <w:tc>
          <w:tcPr>
            <w:tcW w:w="1129" w:type="dxa"/>
            <w:noWrap/>
            <w:vAlign w:val="center"/>
            <w:hideMark/>
          </w:tcPr>
          <w:p w14:paraId="25B259C0" w14:textId="77777777" w:rsidR="00576381" w:rsidRPr="00ED62DC" w:rsidRDefault="00576381" w:rsidP="00576381">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Subtotal</w:t>
            </w:r>
          </w:p>
        </w:tc>
        <w:tc>
          <w:tcPr>
            <w:tcW w:w="429" w:type="dxa"/>
            <w:noWrap/>
            <w:vAlign w:val="center"/>
            <w:hideMark/>
          </w:tcPr>
          <w:p w14:paraId="4629E36E"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11563.03</w:t>
            </w:r>
          </w:p>
        </w:tc>
        <w:tc>
          <w:tcPr>
            <w:tcW w:w="0" w:type="auto"/>
            <w:noWrap/>
            <w:vAlign w:val="center"/>
            <w:hideMark/>
          </w:tcPr>
          <w:p w14:paraId="5006D424"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10681.35</w:t>
            </w:r>
          </w:p>
        </w:tc>
        <w:tc>
          <w:tcPr>
            <w:tcW w:w="0" w:type="auto"/>
            <w:noWrap/>
            <w:vAlign w:val="center"/>
            <w:hideMark/>
          </w:tcPr>
          <w:p w14:paraId="31055979"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13178.26</w:t>
            </w:r>
          </w:p>
        </w:tc>
        <w:tc>
          <w:tcPr>
            <w:tcW w:w="0" w:type="auto"/>
            <w:noWrap/>
            <w:vAlign w:val="center"/>
            <w:hideMark/>
          </w:tcPr>
          <w:p w14:paraId="35463C1E"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15487.67</w:t>
            </w:r>
          </w:p>
        </w:tc>
        <w:tc>
          <w:tcPr>
            <w:tcW w:w="0" w:type="auto"/>
            <w:noWrap/>
            <w:vAlign w:val="center"/>
            <w:hideMark/>
          </w:tcPr>
          <w:p w14:paraId="627D1779"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23835.75</w:t>
            </w:r>
          </w:p>
        </w:tc>
        <w:tc>
          <w:tcPr>
            <w:tcW w:w="0" w:type="auto"/>
            <w:noWrap/>
            <w:vAlign w:val="center"/>
            <w:hideMark/>
          </w:tcPr>
          <w:p w14:paraId="73FA6F38"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20419.87</w:t>
            </w:r>
          </w:p>
        </w:tc>
        <w:tc>
          <w:tcPr>
            <w:tcW w:w="0" w:type="auto"/>
            <w:noWrap/>
            <w:vAlign w:val="center"/>
            <w:hideMark/>
          </w:tcPr>
          <w:p w14:paraId="6989B79E"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18375.61</w:t>
            </w:r>
          </w:p>
        </w:tc>
        <w:tc>
          <w:tcPr>
            <w:tcW w:w="0" w:type="auto"/>
            <w:noWrap/>
            <w:vAlign w:val="center"/>
            <w:hideMark/>
          </w:tcPr>
          <w:p w14:paraId="63562766"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17715.72</w:t>
            </w:r>
          </w:p>
        </w:tc>
        <w:tc>
          <w:tcPr>
            <w:tcW w:w="0" w:type="auto"/>
            <w:vAlign w:val="center"/>
            <w:hideMark/>
          </w:tcPr>
          <w:p w14:paraId="7B326FAF"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17912</w:t>
            </w:r>
          </w:p>
        </w:tc>
        <w:tc>
          <w:tcPr>
            <w:tcW w:w="0" w:type="auto"/>
            <w:vAlign w:val="center"/>
            <w:hideMark/>
          </w:tcPr>
          <w:p w14:paraId="58F38189"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17970.97</w:t>
            </w:r>
          </w:p>
        </w:tc>
        <w:tc>
          <w:tcPr>
            <w:tcW w:w="0" w:type="auto"/>
            <w:noWrap/>
            <w:hideMark/>
          </w:tcPr>
          <w:p w14:paraId="10BD5371"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-2.52</w:t>
            </w:r>
          </w:p>
        </w:tc>
        <w:tc>
          <w:tcPr>
            <w:tcW w:w="0" w:type="auto"/>
            <w:noWrap/>
            <w:hideMark/>
          </w:tcPr>
          <w:p w14:paraId="4A36D464"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1.44</w:t>
            </w:r>
          </w:p>
        </w:tc>
      </w:tr>
      <w:tr w:rsidR="00576381" w:rsidRPr="00ED62DC" w14:paraId="2ECB5C14" w14:textId="77777777" w:rsidTr="00955CAA">
        <w:trPr>
          <w:trHeight w:val="264"/>
        </w:trPr>
        <w:tc>
          <w:tcPr>
            <w:tcW w:w="1129" w:type="dxa"/>
            <w:tcBorders>
              <w:bottom w:val="single" w:sz="4" w:space="0" w:color="auto"/>
            </w:tcBorders>
            <w:noWrap/>
            <w:vAlign w:val="center"/>
            <w:hideMark/>
          </w:tcPr>
          <w:p w14:paraId="023C6D05" w14:textId="77777777" w:rsidR="00576381" w:rsidRPr="00ED62DC" w:rsidRDefault="00576381" w:rsidP="00576381">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 Share to total</w:t>
            </w:r>
          </w:p>
        </w:tc>
        <w:tc>
          <w:tcPr>
            <w:tcW w:w="429" w:type="dxa"/>
            <w:tcBorders>
              <w:bottom w:val="single" w:sz="4" w:space="0" w:color="auto"/>
            </w:tcBorders>
            <w:noWrap/>
            <w:vAlign w:val="center"/>
            <w:hideMark/>
          </w:tcPr>
          <w:p w14:paraId="632F10A3"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23.76</w:t>
            </w:r>
          </w:p>
        </w:tc>
        <w:tc>
          <w:tcPr>
            <w:tcW w:w="0" w:type="auto"/>
            <w:tcBorders>
              <w:bottom w:val="single" w:sz="4" w:space="0" w:color="auto"/>
            </w:tcBorders>
            <w:noWrap/>
            <w:vAlign w:val="center"/>
            <w:hideMark/>
          </w:tcPr>
          <w:p w14:paraId="1F9E236C"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22.14</w:t>
            </w:r>
          </w:p>
        </w:tc>
        <w:tc>
          <w:tcPr>
            <w:tcW w:w="0" w:type="auto"/>
            <w:tcBorders>
              <w:bottom w:val="single" w:sz="4" w:space="0" w:color="auto"/>
            </w:tcBorders>
            <w:noWrap/>
            <w:vAlign w:val="center"/>
            <w:hideMark/>
          </w:tcPr>
          <w:p w14:paraId="10C1A76D"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24.19</w:t>
            </w:r>
          </w:p>
        </w:tc>
        <w:tc>
          <w:tcPr>
            <w:tcW w:w="0" w:type="auto"/>
            <w:tcBorders>
              <w:bottom w:val="single" w:sz="4" w:space="0" w:color="auto"/>
            </w:tcBorders>
            <w:noWrap/>
            <w:vAlign w:val="center"/>
            <w:hideMark/>
          </w:tcPr>
          <w:p w14:paraId="7040B51F"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23.29</w:t>
            </w:r>
          </w:p>
        </w:tc>
        <w:tc>
          <w:tcPr>
            <w:tcW w:w="0" w:type="auto"/>
            <w:tcBorders>
              <w:bottom w:val="single" w:sz="4" w:space="0" w:color="auto"/>
            </w:tcBorders>
            <w:noWrap/>
            <w:vAlign w:val="center"/>
            <w:hideMark/>
          </w:tcPr>
          <w:p w14:paraId="7D714CC3"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21.94</w:t>
            </w:r>
          </w:p>
        </w:tc>
        <w:tc>
          <w:tcPr>
            <w:tcW w:w="0" w:type="auto"/>
            <w:tcBorders>
              <w:bottom w:val="single" w:sz="4" w:space="0" w:color="auto"/>
            </w:tcBorders>
            <w:noWrap/>
            <w:vAlign w:val="center"/>
            <w:hideMark/>
          </w:tcPr>
          <w:p w14:paraId="7E9AC142"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21.54</w:t>
            </w:r>
          </w:p>
        </w:tc>
        <w:tc>
          <w:tcPr>
            <w:tcW w:w="0" w:type="auto"/>
            <w:tcBorders>
              <w:bottom w:val="single" w:sz="4" w:space="0" w:color="auto"/>
            </w:tcBorders>
            <w:noWrap/>
            <w:vAlign w:val="center"/>
            <w:hideMark/>
          </w:tcPr>
          <w:p w14:paraId="11F4FAE3"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30.46</w:t>
            </w:r>
          </w:p>
        </w:tc>
        <w:tc>
          <w:tcPr>
            <w:tcW w:w="0" w:type="auto"/>
            <w:tcBorders>
              <w:bottom w:val="single" w:sz="4" w:space="0" w:color="auto"/>
            </w:tcBorders>
            <w:noWrap/>
            <w:vAlign w:val="center"/>
            <w:hideMark/>
          </w:tcPr>
          <w:p w14:paraId="7E499E51"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27.98</w:t>
            </w:r>
          </w:p>
        </w:tc>
        <w:tc>
          <w:tcPr>
            <w:tcW w:w="0" w:type="auto"/>
            <w:tcBorders>
              <w:bottom w:val="single" w:sz="4" w:space="0" w:color="auto"/>
            </w:tcBorders>
            <w:vAlign w:val="center"/>
            <w:hideMark/>
          </w:tcPr>
          <w:p w14:paraId="694B910B"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29.74</w:t>
            </w:r>
          </w:p>
        </w:tc>
        <w:tc>
          <w:tcPr>
            <w:tcW w:w="0" w:type="auto"/>
            <w:tcBorders>
              <w:bottom w:val="single" w:sz="4" w:space="0" w:color="auto"/>
            </w:tcBorders>
            <w:vAlign w:val="center"/>
            <w:hideMark/>
          </w:tcPr>
          <w:p w14:paraId="13084A83"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26.43</w:t>
            </w:r>
          </w:p>
        </w:tc>
        <w:tc>
          <w:tcPr>
            <w:tcW w:w="0" w:type="auto"/>
            <w:tcBorders>
              <w:bottom w:val="single" w:sz="4" w:space="0" w:color="auto"/>
            </w:tcBorders>
            <w:noWrap/>
            <w:hideMark/>
          </w:tcPr>
          <w:p w14:paraId="401F2C34"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-2.36</w:t>
            </w:r>
          </w:p>
        </w:tc>
        <w:tc>
          <w:tcPr>
            <w:tcW w:w="0" w:type="auto"/>
            <w:tcBorders>
              <w:bottom w:val="single" w:sz="4" w:space="0" w:color="auto"/>
            </w:tcBorders>
            <w:noWrap/>
            <w:hideMark/>
          </w:tcPr>
          <w:p w14:paraId="06EF8B9B" w14:textId="77777777" w:rsidR="00576381" w:rsidRPr="00ED62DC" w:rsidRDefault="00576381" w:rsidP="008F3B51">
            <w:pPr>
              <w:spacing w:after="0" w:line="240" w:lineRule="auto"/>
              <w:rPr>
                <w:rFonts w:ascii="Times New Roman" w:eastAsia="Times New Roman" w:hAnsi="Times New Roman" w:cs="Times New Roman"/>
                <w:color w:val="000000" w:themeColor="text1"/>
                <w:kern w:val="0"/>
                <w:sz w:val="19"/>
                <w:szCs w:val="19"/>
                <w:lang w:eastAsia="en-IN"/>
                <w14:ligatures w14:val="none"/>
              </w:rPr>
            </w:pPr>
            <w:r w:rsidRPr="00ED62DC">
              <w:rPr>
                <w:rFonts w:ascii="Times New Roman" w:eastAsia="Times New Roman" w:hAnsi="Times New Roman" w:cs="Times New Roman"/>
                <w:color w:val="000000" w:themeColor="text1"/>
                <w:kern w:val="0"/>
                <w:sz w:val="19"/>
                <w:szCs w:val="19"/>
                <w:lang w:eastAsia="en-IN"/>
                <w14:ligatures w14:val="none"/>
              </w:rPr>
              <w:t>-5.54</w:t>
            </w:r>
          </w:p>
        </w:tc>
      </w:tr>
    </w:tbl>
    <w:p w14:paraId="0090950E" w14:textId="77777777" w:rsidR="008F3B51" w:rsidRPr="00ED62DC" w:rsidRDefault="008F3B51" w:rsidP="00C17121">
      <w:pPr>
        <w:spacing w:after="0" w:line="240" w:lineRule="auto"/>
        <w:jc w:val="both"/>
        <w:rPr>
          <w:rFonts w:ascii="Times New Roman" w:hAnsi="Times New Roman" w:cs="Times New Roman"/>
          <w:color w:val="000000" w:themeColor="text1"/>
          <w:sz w:val="20"/>
          <w:szCs w:val="20"/>
        </w:rPr>
      </w:pPr>
    </w:p>
    <w:p w14:paraId="02746010" w14:textId="77777777" w:rsidR="00C61457" w:rsidRPr="00ED62DC" w:rsidRDefault="00C61457" w:rsidP="00C17121">
      <w:pPr>
        <w:spacing w:after="0" w:line="240" w:lineRule="auto"/>
        <w:jc w:val="both"/>
        <w:rPr>
          <w:rFonts w:ascii="Times New Roman" w:hAnsi="Times New Roman" w:cs="Times New Roman"/>
          <w:color w:val="000000" w:themeColor="text1"/>
          <w:sz w:val="20"/>
          <w:szCs w:val="20"/>
        </w:rPr>
        <w:sectPr w:rsidR="00C61457" w:rsidRPr="00ED62DC" w:rsidSect="00BC29BB">
          <w:type w:val="continuous"/>
          <w:pgSz w:w="11906" w:h="16838"/>
          <w:pgMar w:top="1440" w:right="1440" w:bottom="1440" w:left="1440" w:header="1134" w:footer="708" w:gutter="0"/>
          <w:cols w:space="708"/>
          <w:docGrid w:linePitch="360"/>
        </w:sectPr>
      </w:pPr>
    </w:p>
    <w:p w14:paraId="17916593" w14:textId="4FF18BE4" w:rsidR="00C17121" w:rsidRPr="00ED62DC" w:rsidRDefault="00C17121" w:rsidP="00C17121">
      <w:pPr>
        <w:spacing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b/>
          <w:bCs/>
          <w:color w:val="000000" w:themeColor="text1"/>
          <w:sz w:val="20"/>
          <w:szCs w:val="20"/>
        </w:rPr>
        <w:lastRenderedPageBreak/>
        <w:t>Source</w:t>
      </w:r>
      <w:r w:rsidRPr="00ED62DC">
        <w:rPr>
          <w:rFonts w:ascii="Times New Roman" w:hAnsi="Times New Roman" w:cs="Times New Roman"/>
          <w:color w:val="000000" w:themeColor="text1"/>
          <w:sz w:val="20"/>
          <w:szCs w:val="20"/>
        </w:rPr>
        <w:t>: Authors estimation based on data compiled from Spice Board India, 2026</w:t>
      </w:r>
    </w:p>
    <w:p w14:paraId="73C7C460" w14:textId="7BC035F5" w:rsidR="007B1243" w:rsidRPr="00ED62DC" w:rsidRDefault="007B1243" w:rsidP="007B1243">
      <w:pPr>
        <w:spacing w:before="240"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Table 4 presents the changes in India’s major seed spice exports during 2025-26 compared with 2024-25 and reveals considerable variation across crops and destination markets. Overall, the export response was not uniform, indicating that the observed changes were influenced by a combination of geopolitical disruptions, market-specific demand conditions, international prices, freight costs and trade reorientation. Coriander exports remained broadly stable in quantity, declining marginally by 0.19 per cent, while export value increased by 7.34 per cent. Exports to the GCC declined by 2.09 per cent in quantity but increased by 1.82 per cent in value. Although exports to important Gulf markets such as Qatar, the UAE and Kuwait declined, substantial increases in Algeria, Nigeria, Iraq, Nepal and Sri Lanka indicate</w:t>
      </w:r>
      <w:r w:rsidR="00C24E35" w:rsidRPr="00ED62DC">
        <w:rPr>
          <w:rFonts w:ascii="Times New Roman" w:hAnsi="Times New Roman" w:cs="Times New Roman"/>
          <w:color w:val="000000" w:themeColor="text1"/>
          <w:sz w:val="20"/>
          <w:szCs w:val="20"/>
        </w:rPr>
        <w:t>s</w:t>
      </w:r>
      <w:r w:rsidRPr="00ED62DC">
        <w:rPr>
          <w:rFonts w:ascii="Times New Roman" w:hAnsi="Times New Roman" w:cs="Times New Roman"/>
          <w:color w:val="000000" w:themeColor="text1"/>
          <w:sz w:val="20"/>
          <w:szCs w:val="20"/>
        </w:rPr>
        <w:t xml:space="preserve"> diversif</w:t>
      </w:r>
      <w:r w:rsidR="00C24E35" w:rsidRPr="00ED62DC">
        <w:rPr>
          <w:rFonts w:ascii="Times New Roman" w:hAnsi="Times New Roman" w:cs="Times New Roman"/>
          <w:color w:val="000000" w:themeColor="text1"/>
          <w:sz w:val="20"/>
          <w:szCs w:val="20"/>
        </w:rPr>
        <w:t>ication</w:t>
      </w:r>
      <w:r w:rsidRPr="00ED62DC">
        <w:rPr>
          <w:rFonts w:ascii="Times New Roman" w:hAnsi="Times New Roman" w:cs="Times New Roman"/>
          <w:color w:val="000000" w:themeColor="text1"/>
          <w:sz w:val="20"/>
          <w:szCs w:val="20"/>
        </w:rPr>
        <w:t xml:space="preserve"> towards alternative markets. Thus, coriander exports appear to have remained relatively resilient despite the geopolitical disruptions.</w:t>
      </w:r>
    </w:p>
    <w:p w14:paraId="51C59F2B" w14:textId="6778857F" w:rsidR="007B1243" w:rsidRPr="00ED62DC" w:rsidRDefault="007B1243" w:rsidP="008F3B51">
      <w:pPr>
        <w:spacing w:before="240"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 xml:space="preserve">Cumin, in contrast, recorded a substantial contraction, with export quantity declining by 14.39 per cent and export value by 25.37 per cent. Exports to the GCC also declined by 4.14 per cent in quantity </w:t>
      </w:r>
      <w:r w:rsidRPr="00ED62DC">
        <w:rPr>
          <w:rFonts w:ascii="Times New Roman" w:hAnsi="Times New Roman" w:cs="Times New Roman"/>
          <w:color w:val="000000" w:themeColor="text1"/>
          <w:sz w:val="20"/>
          <w:szCs w:val="20"/>
        </w:rPr>
        <w:lastRenderedPageBreak/>
        <w:t xml:space="preserve">and 17.21 per cent in value, which is particularly relevant given the increasing importance of Gulf markets in India’s cumin trade. Gulf countries accounted for about 19 per cent of India’s cumin exports in 2024–25, compared with less than 9 per cent in 2020-21, indicating growing </w:t>
      </w:r>
      <w:r w:rsidR="00C24E35" w:rsidRPr="00ED62DC">
        <w:rPr>
          <w:rFonts w:ascii="Times New Roman" w:hAnsi="Times New Roman" w:cs="Times New Roman"/>
          <w:color w:val="000000" w:themeColor="text1"/>
          <w:sz w:val="20"/>
          <w:szCs w:val="20"/>
        </w:rPr>
        <w:t>share of</w:t>
      </w:r>
      <w:r w:rsidRPr="00ED62DC">
        <w:rPr>
          <w:rFonts w:ascii="Times New Roman" w:hAnsi="Times New Roman" w:cs="Times New Roman"/>
          <w:color w:val="000000" w:themeColor="text1"/>
          <w:sz w:val="20"/>
          <w:szCs w:val="20"/>
        </w:rPr>
        <w:t xml:space="preserve"> this region. </w:t>
      </w:r>
      <w:r w:rsidR="00CE5507" w:rsidRPr="00ED62DC">
        <w:rPr>
          <w:rFonts w:ascii="Times New Roman" w:hAnsi="Times New Roman" w:cs="Times New Roman"/>
          <w:color w:val="000000" w:themeColor="text1"/>
          <w:sz w:val="20"/>
          <w:szCs w:val="20"/>
        </w:rPr>
        <w:t xml:space="preserve">According to the Federation of Indian Spice Stakeholders (FISS), as reported by the Times of India (31 March 2026), Gujarat’s cumin exports declined by 12.5 per cent in 2025, from 2.37 lakh tonnes in 2024 to 2.07 lakh tonnes. The decline was attributed to weak demand in major markets and geopolitical disruptions, with the escalation of tensions in West Asia during February-March 2026 resulting in shipment cancellations and additional war-related freight surcharges, including an estimated US$4,000 per container (Times of India, 31/03/2026). </w:t>
      </w:r>
      <w:r w:rsidRPr="00ED62DC">
        <w:rPr>
          <w:rFonts w:ascii="Times New Roman" w:hAnsi="Times New Roman" w:cs="Times New Roman"/>
          <w:color w:val="000000" w:themeColor="text1"/>
          <w:sz w:val="20"/>
          <w:szCs w:val="20"/>
        </w:rPr>
        <w:t xml:space="preserve">The decline in cumin exports during 2025-26 was attributable </w:t>
      </w:r>
      <w:r w:rsidR="00C24E35" w:rsidRPr="00ED62DC">
        <w:rPr>
          <w:rFonts w:ascii="Times New Roman" w:hAnsi="Times New Roman" w:cs="Times New Roman"/>
          <w:color w:val="000000" w:themeColor="text1"/>
          <w:sz w:val="20"/>
          <w:szCs w:val="20"/>
        </w:rPr>
        <w:t xml:space="preserve">to multiple factors including geopolitical disruptions, elevated freight and insurance costs and market-specific demand conditions. </w:t>
      </w:r>
      <w:r w:rsidRPr="00ED62DC">
        <w:rPr>
          <w:rFonts w:ascii="Times New Roman" w:hAnsi="Times New Roman" w:cs="Times New Roman"/>
          <w:color w:val="000000" w:themeColor="text1"/>
          <w:sz w:val="20"/>
          <w:szCs w:val="20"/>
        </w:rPr>
        <w:t>Very sharp reductions in exports to China and Mexico, for example, reflect market-specific factors</w:t>
      </w:r>
      <w:r w:rsidR="00C24E35" w:rsidRPr="00ED62DC">
        <w:rPr>
          <w:rFonts w:ascii="Times New Roman" w:hAnsi="Times New Roman" w:cs="Times New Roman"/>
          <w:color w:val="000000" w:themeColor="text1"/>
          <w:sz w:val="20"/>
          <w:szCs w:val="20"/>
        </w:rPr>
        <w:t>. I</w:t>
      </w:r>
      <w:r w:rsidRPr="00ED62DC">
        <w:rPr>
          <w:rFonts w:ascii="Times New Roman" w:hAnsi="Times New Roman" w:cs="Times New Roman"/>
          <w:color w:val="000000" w:themeColor="text1"/>
          <w:sz w:val="20"/>
          <w:szCs w:val="20"/>
        </w:rPr>
        <w:t xml:space="preserve">n particular, China’s good domestic cumin harvest substantially reduced its import requirement. At the same time, strong growth in markets such as Turkey, Israel, Peru and the Netherlands suggests considerable trade reorientation. </w:t>
      </w:r>
    </w:p>
    <w:p w14:paraId="25781E0C" w14:textId="321F1662" w:rsidR="007B1243" w:rsidRPr="00ED62DC" w:rsidRDefault="007B1243" w:rsidP="008F3B51">
      <w:pPr>
        <w:spacing w:before="240"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lastRenderedPageBreak/>
        <w:t>Fennel experienced the most severe deterioration among the four seed spices, with total export quantity and value declining by 56.86 and 44.97 per cent, respectively. The contraction was also pronounced in the GCC, where exports declined by 43.52 per cent in quantity and 38.04 per cent in value. This is particularly significant because Gulf countries have traditionally constituted an important market for Indian fennel, with the UAE emerging as the leading destination, followed by Saudi Arabia, Kuwait and other Gulf countries. During 2025-26, exports to China, Morocco, the UAE and Saudi Arabia declined sharply, while only a few markets, including Bangladesh, Australia, Canada and Kuwait, recorded increases. The sharp contraction in both total and GCC exports indicates that fennel was relatively more vulnerable to the adverse trade environment during the period, although the available data do not permit the entire decline to be attributed to the Iran conflict or disruption around the Strait of Hormuz.</w:t>
      </w:r>
    </w:p>
    <w:p w14:paraId="0C257BA5" w14:textId="77777777" w:rsidR="007B1243" w:rsidRPr="00ED62DC" w:rsidRDefault="007B1243" w:rsidP="008F3B51">
      <w:pPr>
        <w:spacing w:before="240"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lastRenderedPageBreak/>
        <w:t>Fenugreek showed a contrasting pattern and remained relatively resilient. Total export quantity increased by 5.74 per cent, although export value declined by 2.39 per cent, indicating lower average unit realization. The GCC recorded an 8.28 per cent increase in quantity but an 8.28 per cent decline in value; consequently, its share in total fenugreek exports increased slightly from 25.23 to 25.83 per cent in quantity but declined from 23.92 to 22.47 per cent in value. Strong increases in exports to Iraq, Sudan, Sri Lanka, Bangladesh and the USA more than offset declines in markets such as Djibouti, France, Saudi Arabia and Yemen. The relatively stable export volume despite geopolitical disruptions suggests that Indian fenugreek exporters were able to compensate for losses in some markets through diversification and expansion into alternative destinations.</w:t>
      </w:r>
    </w:p>
    <w:p w14:paraId="4595FE02" w14:textId="77777777" w:rsidR="00C61457" w:rsidRPr="00ED62DC" w:rsidRDefault="00C61457" w:rsidP="008F3B51">
      <w:pPr>
        <w:spacing w:before="240" w:after="0" w:line="240" w:lineRule="auto"/>
        <w:jc w:val="both"/>
        <w:rPr>
          <w:rFonts w:ascii="Times New Roman" w:hAnsi="Times New Roman" w:cs="Times New Roman"/>
          <w:b/>
          <w:bCs/>
          <w:color w:val="000000" w:themeColor="text1"/>
          <w:sz w:val="20"/>
          <w:szCs w:val="20"/>
        </w:rPr>
        <w:sectPr w:rsidR="00C61457" w:rsidRPr="00ED62DC" w:rsidSect="00C61457">
          <w:type w:val="continuous"/>
          <w:pgSz w:w="11906" w:h="16838"/>
          <w:pgMar w:top="1440" w:right="1440" w:bottom="1440" w:left="1440" w:header="1134" w:footer="708" w:gutter="0"/>
          <w:cols w:num="2" w:space="566"/>
          <w:docGrid w:linePitch="360"/>
        </w:sectPr>
      </w:pPr>
    </w:p>
    <w:p w14:paraId="06C2F922" w14:textId="189A855D" w:rsidR="001C3B8E" w:rsidRPr="00ED62DC" w:rsidRDefault="001C3B8E" w:rsidP="008F3B51">
      <w:pPr>
        <w:spacing w:before="240"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b/>
          <w:bCs/>
          <w:color w:val="000000" w:themeColor="text1"/>
          <w:sz w:val="20"/>
          <w:szCs w:val="20"/>
        </w:rPr>
        <w:lastRenderedPageBreak/>
        <w:t xml:space="preserve">Table </w:t>
      </w:r>
      <w:r w:rsidR="002D3100" w:rsidRPr="00ED62DC">
        <w:rPr>
          <w:rFonts w:ascii="Times New Roman" w:hAnsi="Times New Roman" w:cs="Times New Roman"/>
          <w:b/>
          <w:bCs/>
          <w:color w:val="000000" w:themeColor="text1"/>
          <w:sz w:val="20"/>
          <w:szCs w:val="20"/>
        </w:rPr>
        <w:t>4</w:t>
      </w:r>
      <w:r w:rsidRPr="00ED62DC">
        <w:rPr>
          <w:rFonts w:ascii="Times New Roman" w:hAnsi="Times New Roman" w:cs="Times New Roman"/>
          <w:b/>
          <w:bCs/>
          <w:color w:val="000000" w:themeColor="text1"/>
          <w:sz w:val="20"/>
          <w:szCs w:val="20"/>
        </w:rPr>
        <w:t xml:space="preserve">. </w:t>
      </w:r>
      <w:r w:rsidRPr="00ED62DC">
        <w:rPr>
          <w:rFonts w:ascii="Times New Roman" w:hAnsi="Times New Roman" w:cs="Times New Roman"/>
          <w:color w:val="000000" w:themeColor="text1"/>
          <w:sz w:val="20"/>
          <w:szCs w:val="20"/>
        </w:rPr>
        <w:t>Changes in India’s major seed spice exports and selected destination markets during 2025</w:t>
      </w:r>
      <w:r w:rsidR="0088096B" w:rsidRPr="00ED62DC">
        <w:rPr>
          <w:rFonts w:ascii="Times New Roman" w:hAnsi="Times New Roman" w:cs="Times New Roman"/>
          <w:color w:val="000000" w:themeColor="text1"/>
          <w:sz w:val="20"/>
          <w:szCs w:val="20"/>
        </w:rPr>
        <w:t>-</w:t>
      </w:r>
      <w:r w:rsidRPr="00ED62DC">
        <w:rPr>
          <w:rFonts w:ascii="Times New Roman" w:hAnsi="Times New Roman" w:cs="Times New Roman"/>
          <w:color w:val="000000" w:themeColor="text1"/>
          <w:sz w:val="20"/>
          <w:szCs w:val="20"/>
        </w:rPr>
        <w:t>26 over 2024</w:t>
      </w:r>
      <w:r w:rsidR="0088096B" w:rsidRPr="00ED62DC">
        <w:rPr>
          <w:rFonts w:ascii="Times New Roman" w:hAnsi="Times New Roman" w:cs="Times New Roman"/>
          <w:color w:val="000000" w:themeColor="text1"/>
          <w:sz w:val="20"/>
          <w:szCs w:val="20"/>
        </w:rPr>
        <w:t>-</w:t>
      </w:r>
      <w:r w:rsidRPr="00ED62DC">
        <w:rPr>
          <w:rFonts w:ascii="Times New Roman" w:hAnsi="Times New Roman" w:cs="Times New Roman"/>
          <w:color w:val="000000" w:themeColor="text1"/>
          <w:sz w:val="20"/>
          <w:szCs w:val="20"/>
        </w:rPr>
        <w:t>25</w:t>
      </w:r>
    </w:p>
    <w:p w14:paraId="51BB4D2E" w14:textId="77777777" w:rsidR="00642BA0" w:rsidRPr="00ED62DC" w:rsidRDefault="00642BA0" w:rsidP="008F3B51">
      <w:pPr>
        <w:spacing w:after="0" w:line="240" w:lineRule="auto"/>
        <w:jc w:val="both"/>
        <w:rPr>
          <w:rFonts w:ascii="Times New Roman" w:hAnsi="Times New Roman" w:cs="Times New Roman"/>
          <w:color w:val="000000" w:themeColor="text1"/>
          <w:sz w:val="20"/>
          <w:szCs w:val="20"/>
        </w:rPr>
      </w:pPr>
    </w:p>
    <w:tbl>
      <w:tblPr>
        <w:tblStyle w:val="TableGrid"/>
        <w:tblW w:w="90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9"/>
        <w:gridCol w:w="1795"/>
        <w:gridCol w:w="1795"/>
        <w:gridCol w:w="2002"/>
        <w:gridCol w:w="2126"/>
      </w:tblGrid>
      <w:tr w:rsidR="001C3B8E" w:rsidRPr="00ED62DC" w14:paraId="5F6F9988" w14:textId="77777777" w:rsidTr="00C61457">
        <w:tc>
          <w:tcPr>
            <w:tcW w:w="1349" w:type="dxa"/>
            <w:tcBorders>
              <w:top w:val="single" w:sz="4" w:space="0" w:color="auto"/>
              <w:bottom w:val="single" w:sz="4" w:space="0" w:color="auto"/>
            </w:tcBorders>
            <w:vAlign w:val="center"/>
          </w:tcPr>
          <w:p w14:paraId="4D949D25" w14:textId="5A5D4D2A" w:rsidR="001C3B8E" w:rsidRPr="00ED62DC" w:rsidRDefault="001C3B8E" w:rsidP="008F3B51">
            <w:pPr>
              <w:jc w:val="both"/>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Spice</w:t>
            </w:r>
          </w:p>
        </w:tc>
        <w:tc>
          <w:tcPr>
            <w:tcW w:w="1795" w:type="dxa"/>
            <w:tcBorders>
              <w:top w:val="single" w:sz="4" w:space="0" w:color="auto"/>
              <w:bottom w:val="single" w:sz="4" w:space="0" w:color="auto"/>
            </w:tcBorders>
            <w:vAlign w:val="center"/>
          </w:tcPr>
          <w:p w14:paraId="595D7878" w14:textId="486624FD" w:rsidR="001C3B8E" w:rsidRPr="00ED62DC" w:rsidRDefault="001C3B8E" w:rsidP="008F3B51">
            <w:pPr>
              <w:jc w:val="both"/>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Total export change (%)</w:t>
            </w:r>
          </w:p>
        </w:tc>
        <w:tc>
          <w:tcPr>
            <w:tcW w:w="1795" w:type="dxa"/>
            <w:tcBorders>
              <w:top w:val="single" w:sz="4" w:space="0" w:color="auto"/>
              <w:bottom w:val="single" w:sz="4" w:space="0" w:color="auto"/>
            </w:tcBorders>
            <w:vAlign w:val="center"/>
          </w:tcPr>
          <w:p w14:paraId="71E3803D" w14:textId="11A5EADC" w:rsidR="001C3B8E" w:rsidRPr="00ED62DC" w:rsidRDefault="001C3B8E" w:rsidP="008F3B51">
            <w:pPr>
              <w:jc w:val="both"/>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GCC export change (%)</w:t>
            </w:r>
          </w:p>
        </w:tc>
        <w:tc>
          <w:tcPr>
            <w:tcW w:w="2002" w:type="dxa"/>
            <w:tcBorders>
              <w:top w:val="single" w:sz="4" w:space="0" w:color="auto"/>
              <w:bottom w:val="single" w:sz="4" w:space="0" w:color="auto"/>
            </w:tcBorders>
            <w:vAlign w:val="center"/>
          </w:tcPr>
          <w:p w14:paraId="3FBB8C89" w14:textId="47457ADF" w:rsidR="001C3B8E" w:rsidRPr="00ED62DC" w:rsidRDefault="001C3B8E" w:rsidP="008F3B51">
            <w:pPr>
              <w:jc w:val="both"/>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 xml:space="preserve">Markets with increased </w:t>
            </w:r>
            <w:r w:rsidR="00C24E35" w:rsidRPr="00ED62DC">
              <w:rPr>
                <w:rFonts w:ascii="Times New Roman" w:hAnsi="Times New Roman" w:cs="Times New Roman"/>
                <w:b/>
                <w:bCs/>
                <w:color w:val="000000" w:themeColor="text1"/>
                <w:sz w:val="20"/>
                <w:szCs w:val="20"/>
              </w:rPr>
              <w:t xml:space="preserve">quantity </w:t>
            </w:r>
            <w:r w:rsidRPr="00ED62DC">
              <w:rPr>
                <w:rFonts w:ascii="Times New Roman" w:hAnsi="Times New Roman" w:cs="Times New Roman"/>
                <w:b/>
                <w:bCs/>
                <w:color w:val="000000" w:themeColor="text1"/>
                <w:sz w:val="20"/>
                <w:szCs w:val="20"/>
              </w:rPr>
              <w:t>exports (%)</w:t>
            </w:r>
          </w:p>
        </w:tc>
        <w:tc>
          <w:tcPr>
            <w:tcW w:w="2126" w:type="dxa"/>
            <w:tcBorders>
              <w:top w:val="single" w:sz="4" w:space="0" w:color="auto"/>
              <w:bottom w:val="single" w:sz="4" w:space="0" w:color="auto"/>
            </w:tcBorders>
            <w:vAlign w:val="center"/>
          </w:tcPr>
          <w:p w14:paraId="190B3EA9" w14:textId="13950945" w:rsidR="001C3B8E" w:rsidRPr="00ED62DC" w:rsidRDefault="001C3B8E" w:rsidP="008F3B51">
            <w:pPr>
              <w:jc w:val="both"/>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 xml:space="preserve">Markets with decreased </w:t>
            </w:r>
            <w:r w:rsidR="00C24E35" w:rsidRPr="00ED62DC">
              <w:rPr>
                <w:rFonts w:ascii="Times New Roman" w:hAnsi="Times New Roman" w:cs="Times New Roman"/>
                <w:b/>
                <w:bCs/>
                <w:color w:val="000000" w:themeColor="text1"/>
                <w:sz w:val="20"/>
                <w:szCs w:val="20"/>
              </w:rPr>
              <w:t xml:space="preserve">quantity </w:t>
            </w:r>
            <w:r w:rsidRPr="00ED62DC">
              <w:rPr>
                <w:rFonts w:ascii="Times New Roman" w:hAnsi="Times New Roman" w:cs="Times New Roman"/>
                <w:b/>
                <w:bCs/>
                <w:color w:val="000000" w:themeColor="text1"/>
                <w:sz w:val="20"/>
                <w:szCs w:val="20"/>
              </w:rPr>
              <w:t>exports (%)</w:t>
            </w:r>
          </w:p>
        </w:tc>
      </w:tr>
      <w:tr w:rsidR="001C3B8E" w:rsidRPr="00ED62DC" w14:paraId="44BAD420" w14:textId="77777777" w:rsidTr="00C61457">
        <w:tc>
          <w:tcPr>
            <w:tcW w:w="1349" w:type="dxa"/>
            <w:tcBorders>
              <w:top w:val="single" w:sz="4" w:space="0" w:color="auto"/>
            </w:tcBorders>
            <w:vAlign w:val="center"/>
          </w:tcPr>
          <w:p w14:paraId="5761E2D4" w14:textId="13D9FB30"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Coriander</w:t>
            </w:r>
          </w:p>
        </w:tc>
        <w:tc>
          <w:tcPr>
            <w:tcW w:w="1795" w:type="dxa"/>
            <w:tcBorders>
              <w:top w:val="single" w:sz="4" w:space="0" w:color="auto"/>
            </w:tcBorders>
            <w:vAlign w:val="center"/>
          </w:tcPr>
          <w:p w14:paraId="5A02097D"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Qty -0.19</w:t>
            </w:r>
          </w:p>
          <w:p w14:paraId="6147B27C" w14:textId="5418E47A"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Value +7.34</w:t>
            </w:r>
          </w:p>
        </w:tc>
        <w:tc>
          <w:tcPr>
            <w:tcW w:w="1795" w:type="dxa"/>
            <w:tcBorders>
              <w:top w:val="single" w:sz="4" w:space="0" w:color="auto"/>
            </w:tcBorders>
            <w:vAlign w:val="center"/>
          </w:tcPr>
          <w:p w14:paraId="492D89FA"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Qty -2.09</w:t>
            </w:r>
          </w:p>
          <w:p w14:paraId="1697263A" w14:textId="062EB6F5"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Value +1.82</w:t>
            </w:r>
          </w:p>
        </w:tc>
        <w:tc>
          <w:tcPr>
            <w:tcW w:w="2002" w:type="dxa"/>
            <w:tcBorders>
              <w:top w:val="single" w:sz="4" w:space="0" w:color="auto"/>
            </w:tcBorders>
            <w:vAlign w:val="center"/>
          </w:tcPr>
          <w:p w14:paraId="3A03B32B"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Algeria +183.54</w:t>
            </w:r>
          </w:p>
          <w:p w14:paraId="3DDA7D61"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Nigeria +123.28</w:t>
            </w:r>
          </w:p>
          <w:p w14:paraId="4F33E579"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Iraq +117.65</w:t>
            </w:r>
          </w:p>
          <w:p w14:paraId="58052375"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Nepal +26.89</w:t>
            </w:r>
          </w:p>
          <w:p w14:paraId="3FA2371E" w14:textId="165BBA42"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Sri Lanka +18.02</w:t>
            </w:r>
          </w:p>
        </w:tc>
        <w:tc>
          <w:tcPr>
            <w:tcW w:w="2126" w:type="dxa"/>
            <w:tcBorders>
              <w:top w:val="single" w:sz="4" w:space="0" w:color="auto"/>
            </w:tcBorders>
            <w:vAlign w:val="center"/>
          </w:tcPr>
          <w:p w14:paraId="467584E2"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Qatar -24.54</w:t>
            </w:r>
          </w:p>
          <w:p w14:paraId="7C8FE68C"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Canada -15.16</w:t>
            </w:r>
          </w:p>
          <w:p w14:paraId="29B947F5"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UAE -15.86</w:t>
            </w:r>
          </w:p>
          <w:p w14:paraId="0F5C96FD"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Kuwait -11.51</w:t>
            </w:r>
          </w:p>
          <w:p w14:paraId="4D294EA4" w14:textId="04BE30A3"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UK -7.65</w:t>
            </w:r>
          </w:p>
        </w:tc>
      </w:tr>
      <w:tr w:rsidR="001C3B8E" w:rsidRPr="00ED62DC" w14:paraId="22817024" w14:textId="77777777" w:rsidTr="00C61457">
        <w:tc>
          <w:tcPr>
            <w:tcW w:w="1349" w:type="dxa"/>
            <w:vAlign w:val="center"/>
          </w:tcPr>
          <w:p w14:paraId="4E68B4B4" w14:textId="310FE831"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Cumin</w:t>
            </w:r>
          </w:p>
        </w:tc>
        <w:tc>
          <w:tcPr>
            <w:tcW w:w="1795" w:type="dxa"/>
            <w:vAlign w:val="center"/>
          </w:tcPr>
          <w:p w14:paraId="45B1D25F"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Qty -14.39</w:t>
            </w:r>
          </w:p>
          <w:p w14:paraId="21E93881" w14:textId="433AE6B7"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Value -25.37</w:t>
            </w:r>
          </w:p>
        </w:tc>
        <w:tc>
          <w:tcPr>
            <w:tcW w:w="1795" w:type="dxa"/>
            <w:vAlign w:val="center"/>
          </w:tcPr>
          <w:p w14:paraId="09DDEB5F"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Qty -4.14</w:t>
            </w:r>
          </w:p>
          <w:p w14:paraId="0B2981E9" w14:textId="5A084222"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Value -17.21</w:t>
            </w:r>
          </w:p>
        </w:tc>
        <w:tc>
          <w:tcPr>
            <w:tcW w:w="2002" w:type="dxa"/>
            <w:vAlign w:val="center"/>
          </w:tcPr>
          <w:p w14:paraId="31253CDD"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Turkey +678.59</w:t>
            </w:r>
          </w:p>
          <w:p w14:paraId="171FF395"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Israel +36.57</w:t>
            </w:r>
          </w:p>
          <w:p w14:paraId="278C189C"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Peru +25.50</w:t>
            </w:r>
          </w:p>
          <w:p w14:paraId="753BAC82"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Netherlands +19.37</w:t>
            </w:r>
          </w:p>
          <w:p w14:paraId="52698157" w14:textId="5ABF3AB2"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Sri Lanka +15.13</w:t>
            </w:r>
          </w:p>
        </w:tc>
        <w:tc>
          <w:tcPr>
            <w:tcW w:w="2126" w:type="dxa"/>
            <w:vAlign w:val="center"/>
          </w:tcPr>
          <w:p w14:paraId="1C873112"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China -76.06</w:t>
            </w:r>
          </w:p>
          <w:p w14:paraId="34C1C5BE"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Mexico -44.86</w:t>
            </w:r>
          </w:p>
          <w:p w14:paraId="33A8A3CD"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Iran -26.32</w:t>
            </w:r>
          </w:p>
          <w:p w14:paraId="02A7786D"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Uzbekistan -19.98</w:t>
            </w:r>
          </w:p>
          <w:p w14:paraId="3493BB33" w14:textId="0E4EDE01"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UK -13.27</w:t>
            </w:r>
          </w:p>
        </w:tc>
      </w:tr>
      <w:tr w:rsidR="001C3B8E" w:rsidRPr="00ED62DC" w14:paraId="3728DC37" w14:textId="77777777" w:rsidTr="00C61457">
        <w:tc>
          <w:tcPr>
            <w:tcW w:w="1349" w:type="dxa"/>
            <w:vAlign w:val="center"/>
          </w:tcPr>
          <w:p w14:paraId="5AB7DC09" w14:textId="2BDA78E8"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Fennel</w:t>
            </w:r>
          </w:p>
        </w:tc>
        <w:tc>
          <w:tcPr>
            <w:tcW w:w="1795" w:type="dxa"/>
            <w:vAlign w:val="center"/>
          </w:tcPr>
          <w:p w14:paraId="49D9C40D"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Qty -56.86</w:t>
            </w:r>
          </w:p>
          <w:p w14:paraId="5A811FA2" w14:textId="225C4BEF"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Value -44.97</w:t>
            </w:r>
          </w:p>
        </w:tc>
        <w:tc>
          <w:tcPr>
            <w:tcW w:w="1795" w:type="dxa"/>
            <w:vAlign w:val="center"/>
          </w:tcPr>
          <w:p w14:paraId="53762216" w14:textId="77777777" w:rsidR="000B7EFA"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Qty -43.52</w:t>
            </w:r>
          </w:p>
          <w:p w14:paraId="26A765F1" w14:textId="0A254935"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Value -38.04</w:t>
            </w:r>
          </w:p>
        </w:tc>
        <w:tc>
          <w:tcPr>
            <w:tcW w:w="2002" w:type="dxa"/>
            <w:vAlign w:val="center"/>
          </w:tcPr>
          <w:p w14:paraId="10FEC06E"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Bangladesh +14.26</w:t>
            </w:r>
          </w:p>
          <w:p w14:paraId="7903F1BA"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Kuwait +10.80</w:t>
            </w:r>
          </w:p>
          <w:p w14:paraId="0C444AEB"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Australia +10.53</w:t>
            </w:r>
          </w:p>
          <w:p w14:paraId="7EFE8B17" w14:textId="128B7CED"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Canada +5.21</w:t>
            </w:r>
          </w:p>
        </w:tc>
        <w:tc>
          <w:tcPr>
            <w:tcW w:w="2126" w:type="dxa"/>
            <w:vAlign w:val="center"/>
          </w:tcPr>
          <w:p w14:paraId="28B210DF"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China -83.65</w:t>
            </w:r>
          </w:p>
          <w:p w14:paraId="5CA8440F"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Morocco -66.36</w:t>
            </w:r>
          </w:p>
          <w:p w14:paraId="66D3266A"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UAE -51.71</w:t>
            </w:r>
          </w:p>
          <w:p w14:paraId="2033A31A"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Saudi Arabia -40.61</w:t>
            </w:r>
          </w:p>
          <w:p w14:paraId="062AE892" w14:textId="5F9CDF69"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Malaysia -25.69</w:t>
            </w:r>
          </w:p>
        </w:tc>
      </w:tr>
      <w:tr w:rsidR="001C3B8E" w:rsidRPr="00ED62DC" w14:paraId="163CD085" w14:textId="77777777" w:rsidTr="00C61457">
        <w:tc>
          <w:tcPr>
            <w:tcW w:w="1349" w:type="dxa"/>
            <w:vAlign w:val="center"/>
          </w:tcPr>
          <w:p w14:paraId="35950625" w14:textId="30AF0A42"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Fenugreek</w:t>
            </w:r>
          </w:p>
        </w:tc>
        <w:tc>
          <w:tcPr>
            <w:tcW w:w="1795" w:type="dxa"/>
            <w:vAlign w:val="center"/>
          </w:tcPr>
          <w:p w14:paraId="13192541"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Qty +5.74</w:t>
            </w:r>
          </w:p>
          <w:p w14:paraId="31197CF4" w14:textId="1D745622"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Value -2.39</w:t>
            </w:r>
          </w:p>
        </w:tc>
        <w:tc>
          <w:tcPr>
            <w:tcW w:w="1795" w:type="dxa"/>
            <w:vAlign w:val="center"/>
          </w:tcPr>
          <w:p w14:paraId="39DB695E" w14:textId="398A866A"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Qty +8.28; Value -8.28</w:t>
            </w:r>
          </w:p>
        </w:tc>
        <w:tc>
          <w:tcPr>
            <w:tcW w:w="2002" w:type="dxa"/>
            <w:vAlign w:val="center"/>
          </w:tcPr>
          <w:p w14:paraId="69532B52"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Iraq +259.73</w:t>
            </w:r>
          </w:p>
          <w:p w14:paraId="4E18F130"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Sudan +149.80</w:t>
            </w:r>
          </w:p>
          <w:p w14:paraId="34E0E763"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Sri Lanka +36.25</w:t>
            </w:r>
          </w:p>
          <w:p w14:paraId="078181E8"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Bangladesh +28.63</w:t>
            </w:r>
          </w:p>
          <w:p w14:paraId="316614FD" w14:textId="3146E30F"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USA +19.33</w:t>
            </w:r>
          </w:p>
        </w:tc>
        <w:tc>
          <w:tcPr>
            <w:tcW w:w="2126" w:type="dxa"/>
            <w:vAlign w:val="center"/>
          </w:tcPr>
          <w:p w14:paraId="07C75A45"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Djibouti -72.59</w:t>
            </w:r>
          </w:p>
          <w:p w14:paraId="525299C8"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France -27.72</w:t>
            </w:r>
          </w:p>
          <w:p w14:paraId="1F7BCE1D"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Saudi Arabia -15.65</w:t>
            </w:r>
          </w:p>
          <w:p w14:paraId="0AD0E4ED" w14:textId="77777777" w:rsidR="00E0011F"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Yemen -9.51</w:t>
            </w:r>
          </w:p>
          <w:p w14:paraId="343FFF95" w14:textId="7A397F2D" w:rsidR="001C3B8E" w:rsidRPr="00ED62DC" w:rsidRDefault="001C3B8E"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Canada -6.89</w:t>
            </w:r>
          </w:p>
        </w:tc>
      </w:tr>
    </w:tbl>
    <w:p w14:paraId="524A9277" w14:textId="77777777" w:rsidR="00C61457" w:rsidRPr="00ED62DC" w:rsidRDefault="00C61457" w:rsidP="008F3B51">
      <w:pPr>
        <w:spacing w:after="0" w:line="240" w:lineRule="auto"/>
        <w:jc w:val="both"/>
        <w:rPr>
          <w:rFonts w:ascii="Times New Roman" w:hAnsi="Times New Roman" w:cs="Times New Roman"/>
          <w:color w:val="000000" w:themeColor="text1"/>
          <w:sz w:val="20"/>
          <w:szCs w:val="20"/>
        </w:rPr>
      </w:pPr>
    </w:p>
    <w:p w14:paraId="67B6930E" w14:textId="77777777" w:rsidR="00C61457" w:rsidRPr="00ED62DC" w:rsidRDefault="00C61457" w:rsidP="008F3B51">
      <w:pPr>
        <w:spacing w:after="0" w:line="240" w:lineRule="auto"/>
        <w:jc w:val="both"/>
        <w:rPr>
          <w:rFonts w:ascii="Times New Roman" w:hAnsi="Times New Roman" w:cs="Times New Roman"/>
          <w:color w:val="000000" w:themeColor="text1"/>
          <w:sz w:val="20"/>
          <w:szCs w:val="20"/>
        </w:rPr>
        <w:sectPr w:rsidR="00C61457" w:rsidRPr="00ED62DC" w:rsidSect="00BC29BB">
          <w:type w:val="continuous"/>
          <w:pgSz w:w="11906" w:h="16838"/>
          <w:pgMar w:top="1440" w:right="1440" w:bottom="1440" w:left="1440" w:header="1134" w:footer="708" w:gutter="0"/>
          <w:cols w:space="708"/>
          <w:docGrid w:linePitch="360"/>
        </w:sectPr>
      </w:pPr>
    </w:p>
    <w:p w14:paraId="3FF26B47" w14:textId="1B13665C" w:rsidR="00C17121" w:rsidRPr="00ED62DC" w:rsidRDefault="00C17121" w:rsidP="008F3B51">
      <w:pPr>
        <w:spacing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lastRenderedPageBreak/>
        <w:t>Source: Authors estimation based on data compiled from Spice Board India, 2026</w:t>
      </w:r>
    </w:p>
    <w:p w14:paraId="49B973C3" w14:textId="21660EBB" w:rsidR="00966688" w:rsidRPr="00ED62DC" w:rsidRDefault="004B2948" w:rsidP="008F3B51">
      <w:pPr>
        <w:spacing w:before="240" w:after="0" w:line="240" w:lineRule="auto"/>
        <w:jc w:val="both"/>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T</w:t>
      </w:r>
      <w:r w:rsidR="00553B2E" w:rsidRPr="00ED62DC">
        <w:rPr>
          <w:rFonts w:ascii="Times New Roman" w:hAnsi="Times New Roman" w:cs="Times New Roman"/>
          <w:b/>
          <w:bCs/>
          <w:color w:val="000000" w:themeColor="text1"/>
          <w:sz w:val="20"/>
          <w:szCs w:val="20"/>
        </w:rPr>
        <w:t>rend</w:t>
      </w:r>
      <w:r w:rsidRPr="00ED62DC">
        <w:rPr>
          <w:rFonts w:ascii="Times New Roman" w:hAnsi="Times New Roman" w:cs="Times New Roman"/>
          <w:b/>
          <w:bCs/>
          <w:color w:val="000000" w:themeColor="text1"/>
          <w:sz w:val="20"/>
          <w:szCs w:val="20"/>
        </w:rPr>
        <w:t xml:space="preserve">s in </w:t>
      </w:r>
      <w:r w:rsidR="00553B2E" w:rsidRPr="00ED62DC">
        <w:rPr>
          <w:rFonts w:ascii="Times New Roman" w:hAnsi="Times New Roman" w:cs="Times New Roman"/>
          <w:b/>
          <w:bCs/>
          <w:color w:val="000000" w:themeColor="text1"/>
          <w:sz w:val="20"/>
          <w:szCs w:val="20"/>
        </w:rPr>
        <w:t>major seed spice</w:t>
      </w:r>
    </w:p>
    <w:p w14:paraId="1085F2E1" w14:textId="77777777" w:rsidR="00553B2E" w:rsidRPr="00ED62DC" w:rsidRDefault="00553B2E" w:rsidP="008F3B51">
      <w:pPr>
        <w:spacing w:after="0" w:line="240" w:lineRule="auto"/>
        <w:jc w:val="both"/>
        <w:rPr>
          <w:rFonts w:ascii="Times New Roman" w:hAnsi="Times New Roman" w:cs="Times New Roman"/>
          <w:color w:val="000000" w:themeColor="text1"/>
          <w:sz w:val="20"/>
          <w:szCs w:val="20"/>
        </w:rPr>
      </w:pPr>
    </w:p>
    <w:p w14:paraId="6B547BB6" w14:textId="431BAEEB" w:rsidR="00005CD2" w:rsidRPr="00ED62DC" w:rsidRDefault="00005CD2" w:rsidP="008F3B51">
      <w:pPr>
        <w:spacing w:after="0" w:line="240" w:lineRule="auto"/>
        <w:jc w:val="both"/>
        <w:rPr>
          <w:rFonts w:ascii="Times New Roman" w:hAnsi="Times New Roman" w:cs="Times New Roman"/>
          <w:color w:val="000000" w:themeColor="text1"/>
          <w:spacing w:val="-2"/>
          <w:w w:val="120"/>
          <w:sz w:val="20"/>
          <w:szCs w:val="20"/>
        </w:rPr>
      </w:pPr>
      <w:r w:rsidRPr="00ED62DC">
        <w:rPr>
          <w:rFonts w:ascii="Times New Roman" w:hAnsi="Times New Roman" w:cs="Times New Roman"/>
          <w:color w:val="000000" w:themeColor="text1"/>
          <w:sz w:val="20"/>
          <w:szCs w:val="20"/>
        </w:rPr>
        <w:t xml:space="preserve">Table </w:t>
      </w:r>
      <w:r w:rsidR="00AA3F7A" w:rsidRPr="00ED62DC">
        <w:rPr>
          <w:rFonts w:ascii="Times New Roman" w:hAnsi="Times New Roman" w:cs="Times New Roman"/>
          <w:color w:val="000000" w:themeColor="text1"/>
          <w:sz w:val="20"/>
          <w:szCs w:val="20"/>
        </w:rPr>
        <w:t xml:space="preserve">5 </w:t>
      </w:r>
      <w:r w:rsidRPr="00ED62DC">
        <w:rPr>
          <w:rFonts w:ascii="Times New Roman" w:hAnsi="Times New Roman" w:cs="Times New Roman"/>
          <w:color w:val="000000" w:themeColor="text1"/>
          <w:sz w:val="20"/>
          <w:szCs w:val="20"/>
        </w:rPr>
        <w:t xml:space="preserve">presents the </w:t>
      </w:r>
      <w:r w:rsidR="00AA3F7A" w:rsidRPr="00ED62DC">
        <w:rPr>
          <w:rFonts w:ascii="Times New Roman" w:hAnsi="Times New Roman" w:cs="Times New Roman"/>
          <w:color w:val="000000" w:themeColor="text1"/>
          <w:sz w:val="20"/>
          <w:szCs w:val="20"/>
        </w:rPr>
        <w:t xml:space="preserve">monthly </w:t>
      </w:r>
      <w:r w:rsidRPr="00ED62DC">
        <w:rPr>
          <w:rFonts w:ascii="Times New Roman" w:hAnsi="Times New Roman" w:cs="Times New Roman"/>
          <w:color w:val="000000" w:themeColor="text1"/>
          <w:sz w:val="20"/>
          <w:szCs w:val="20"/>
        </w:rPr>
        <w:t>average domestic prices of major seed spices in India during January</w:t>
      </w:r>
      <w:r w:rsidR="003872F6" w:rsidRPr="00ED62DC">
        <w:rPr>
          <w:rFonts w:ascii="Times New Roman" w:hAnsi="Times New Roman" w:cs="Times New Roman"/>
          <w:color w:val="000000" w:themeColor="text1"/>
          <w:sz w:val="20"/>
          <w:szCs w:val="20"/>
        </w:rPr>
        <w:t xml:space="preserve"> </w:t>
      </w:r>
      <w:r w:rsidR="003872F6" w:rsidRPr="00ED62DC">
        <w:rPr>
          <w:rFonts w:ascii="Times New Roman" w:hAnsi="Times New Roman" w:cs="Times New Roman"/>
          <w:color w:val="000000" w:themeColor="text1"/>
          <w:sz w:val="20"/>
          <w:szCs w:val="20"/>
        </w:rPr>
        <w:lastRenderedPageBreak/>
        <w:t xml:space="preserve">to </w:t>
      </w:r>
      <w:r w:rsidRPr="00ED62DC">
        <w:rPr>
          <w:rFonts w:ascii="Times New Roman" w:hAnsi="Times New Roman" w:cs="Times New Roman"/>
          <w:color w:val="000000" w:themeColor="text1"/>
          <w:sz w:val="20"/>
          <w:szCs w:val="20"/>
        </w:rPr>
        <w:t xml:space="preserve">May 2026 compared with the corresponding period of 2025. </w:t>
      </w:r>
      <w:r w:rsidR="00033F76" w:rsidRPr="00ED62DC">
        <w:rPr>
          <w:rFonts w:ascii="Times New Roman" w:hAnsi="Times New Roman" w:cs="Times New Roman"/>
          <w:color w:val="000000" w:themeColor="text1"/>
          <w:sz w:val="20"/>
          <w:szCs w:val="20"/>
        </w:rPr>
        <w:t>The price data suggest that cumin</w:t>
      </w:r>
      <w:r w:rsidR="00AA3F7A" w:rsidRPr="00ED62DC">
        <w:rPr>
          <w:rFonts w:ascii="Times New Roman" w:hAnsi="Times New Roman" w:cs="Times New Roman"/>
          <w:color w:val="000000" w:themeColor="text1"/>
          <w:sz w:val="20"/>
          <w:szCs w:val="20"/>
        </w:rPr>
        <w:t xml:space="preserve"> prices</w:t>
      </w:r>
      <w:r w:rsidR="00033F76" w:rsidRPr="00ED62DC">
        <w:rPr>
          <w:rFonts w:ascii="Times New Roman" w:hAnsi="Times New Roman" w:cs="Times New Roman"/>
          <w:color w:val="000000" w:themeColor="text1"/>
          <w:sz w:val="20"/>
          <w:szCs w:val="20"/>
        </w:rPr>
        <w:t xml:space="preserve"> remained consistently below the previous year. In contrast, coriander, fennel, and especially fenugreek </w:t>
      </w:r>
      <w:r w:rsidR="00AA3F7A" w:rsidRPr="00ED62DC">
        <w:rPr>
          <w:rFonts w:ascii="Times New Roman" w:hAnsi="Times New Roman" w:cs="Times New Roman"/>
          <w:color w:val="000000" w:themeColor="text1"/>
          <w:sz w:val="20"/>
          <w:szCs w:val="20"/>
        </w:rPr>
        <w:t>prices were</w:t>
      </w:r>
      <w:r w:rsidR="00033F76" w:rsidRPr="00ED62DC">
        <w:rPr>
          <w:rFonts w:ascii="Times New Roman" w:hAnsi="Times New Roman" w:cs="Times New Roman"/>
          <w:color w:val="000000" w:themeColor="text1"/>
          <w:sz w:val="20"/>
          <w:szCs w:val="20"/>
        </w:rPr>
        <w:t xml:space="preserve"> largely </w:t>
      </w:r>
      <w:r w:rsidR="00E32896" w:rsidRPr="00ED62DC">
        <w:rPr>
          <w:rFonts w:ascii="Times New Roman" w:hAnsi="Times New Roman" w:cs="Times New Roman"/>
          <w:color w:val="000000" w:themeColor="text1"/>
          <w:sz w:val="20"/>
          <w:szCs w:val="20"/>
        </w:rPr>
        <w:t>higher than previous year</w:t>
      </w:r>
      <w:r w:rsidR="00033F76" w:rsidRPr="00ED62DC">
        <w:rPr>
          <w:rFonts w:ascii="Times New Roman" w:hAnsi="Times New Roman" w:cs="Times New Roman"/>
          <w:color w:val="000000" w:themeColor="text1"/>
          <w:sz w:val="20"/>
          <w:szCs w:val="20"/>
        </w:rPr>
        <w:t xml:space="preserve">. </w:t>
      </w:r>
    </w:p>
    <w:p w14:paraId="62346BE8" w14:textId="77777777" w:rsidR="00C61457" w:rsidRPr="00ED62DC" w:rsidRDefault="00C61457" w:rsidP="008F3B51">
      <w:pPr>
        <w:spacing w:after="0" w:line="240" w:lineRule="auto"/>
        <w:jc w:val="both"/>
        <w:rPr>
          <w:rFonts w:ascii="Times New Roman" w:hAnsi="Times New Roman" w:cs="Times New Roman"/>
          <w:color w:val="000000" w:themeColor="text1"/>
          <w:spacing w:val="-2"/>
          <w:w w:val="120"/>
          <w:sz w:val="20"/>
          <w:szCs w:val="20"/>
        </w:rPr>
        <w:sectPr w:rsidR="00C61457" w:rsidRPr="00ED62DC" w:rsidSect="00C61457">
          <w:type w:val="continuous"/>
          <w:pgSz w:w="11906" w:h="16838"/>
          <w:pgMar w:top="1440" w:right="1440" w:bottom="1440" w:left="1440" w:header="1134" w:footer="708" w:gutter="0"/>
          <w:cols w:num="2" w:space="708"/>
          <w:docGrid w:linePitch="360"/>
        </w:sectPr>
      </w:pPr>
    </w:p>
    <w:p w14:paraId="49E9C09B" w14:textId="7A15B4A1" w:rsidR="00B32C59" w:rsidRPr="00ED62DC" w:rsidRDefault="00B32C59" w:rsidP="008F3B51">
      <w:pPr>
        <w:spacing w:line="240" w:lineRule="auto"/>
        <w:jc w:val="both"/>
        <w:rPr>
          <w:rFonts w:ascii="Times New Roman" w:hAnsi="Times New Roman" w:cs="Times New Roman"/>
          <w:color w:val="000000" w:themeColor="text1"/>
          <w:sz w:val="20"/>
          <w:szCs w:val="20"/>
        </w:rPr>
      </w:pPr>
      <w:r w:rsidRPr="00ED62DC">
        <w:rPr>
          <w:rFonts w:ascii="Times New Roman" w:hAnsi="Times New Roman" w:cs="Times New Roman"/>
          <w:b/>
          <w:bCs/>
          <w:color w:val="000000" w:themeColor="text1"/>
          <w:sz w:val="20"/>
          <w:szCs w:val="20"/>
        </w:rPr>
        <w:lastRenderedPageBreak/>
        <w:t>Table</w:t>
      </w:r>
      <w:r w:rsidR="00AA3F7A" w:rsidRPr="00ED62DC">
        <w:rPr>
          <w:rFonts w:ascii="Times New Roman" w:hAnsi="Times New Roman" w:cs="Times New Roman"/>
          <w:b/>
          <w:bCs/>
          <w:color w:val="000000" w:themeColor="text1"/>
          <w:sz w:val="20"/>
          <w:szCs w:val="20"/>
        </w:rPr>
        <w:t xml:space="preserve"> 5.</w:t>
      </w:r>
      <w:r w:rsidRPr="00ED62DC">
        <w:rPr>
          <w:rFonts w:ascii="Times New Roman" w:hAnsi="Times New Roman" w:cs="Times New Roman"/>
          <w:b/>
          <w:bCs/>
          <w:color w:val="000000" w:themeColor="text1"/>
          <w:sz w:val="20"/>
          <w:szCs w:val="20"/>
        </w:rPr>
        <w:t xml:space="preserve"> </w:t>
      </w:r>
      <w:r w:rsidR="00AA3F7A" w:rsidRPr="00ED62DC">
        <w:rPr>
          <w:rFonts w:ascii="Times New Roman" w:hAnsi="Times New Roman" w:cs="Times New Roman"/>
          <w:color w:val="000000" w:themeColor="text1"/>
          <w:sz w:val="20"/>
          <w:szCs w:val="20"/>
        </w:rPr>
        <w:t>Monthly a</w:t>
      </w:r>
      <w:r w:rsidRPr="00ED62DC">
        <w:rPr>
          <w:rFonts w:ascii="Times New Roman" w:hAnsi="Times New Roman" w:cs="Times New Roman"/>
          <w:color w:val="000000" w:themeColor="text1"/>
          <w:sz w:val="20"/>
          <w:szCs w:val="20"/>
        </w:rPr>
        <w:t xml:space="preserve">verage domestic prices </w:t>
      </w:r>
      <w:r w:rsidR="00AA3F7A" w:rsidRPr="00ED62DC">
        <w:rPr>
          <w:rFonts w:ascii="Times New Roman" w:hAnsi="Times New Roman" w:cs="Times New Roman"/>
          <w:color w:val="000000" w:themeColor="text1"/>
          <w:sz w:val="20"/>
          <w:szCs w:val="20"/>
        </w:rPr>
        <w:t xml:space="preserve">(price in Rs/kg.) </w:t>
      </w:r>
      <w:r w:rsidRPr="00ED62DC">
        <w:rPr>
          <w:rFonts w:ascii="Times New Roman" w:hAnsi="Times New Roman" w:cs="Times New Roman"/>
          <w:color w:val="000000" w:themeColor="text1"/>
          <w:sz w:val="20"/>
          <w:szCs w:val="20"/>
        </w:rPr>
        <w:t xml:space="preserve">of major </w:t>
      </w:r>
      <w:r w:rsidR="009B4E9C" w:rsidRPr="00ED62DC">
        <w:rPr>
          <w:rFonts w:ascii="Times New Roman" w:hAnsi="Times New Roman" w:cs="Times New Roman"/>
          <w:color w:val="000000" w:themeColor="text1"/>
          <w:sz w:val="20"/>
          <w:szCs w:val="20"/>
        </w:rPr>
        <w:t xml:space="preserve">seed </w:t>
      </w:r>
      <w:r w:rsidRPr="00ED62DC">
        <w:rPr>
          <w:rFonts w:ascii="Times New Roman" w:hAnsi="Times New Roman" w:cs="Times New Roman"/>
          <w:color w:val="000000" w:themeColor="text1"/>
          <w:sz w:val="20"/>
          <w:szCs w:val="20"/>
        </w:rPr>
        <w:t xml:space="preserve">spices </w:t>
      </w:r>
    </w:p>
    <w:tbl>
      <w:tblPr>
        <w:tblW w:w="8860" w:type="dxa"/>
        <w:tblLook w:val="04A0" w:firstRow="1" w:lastRow="0" w:firstColumn="1" w:lastColumn="0" w:noHBand="0" w:noVBand="1"/>
      </w:tblPr>
      <w:tblGrid>
        <w:gridCol w:w="1180"/>
        <w:gridCol w:w="960"/>
        <w:gridCol w:w="960"/>
        <w:gridCol w:w="960"/>
        <w:gridCol w:w="960"/>
        <w:gridCol w:w="960"/>
        <w:gridCol w:w="960"/>
        <w:gridCol w:w="960"/>
        <w:gridCol w:w="960"/>
      </w:tblGrid>
      <w:tr w:rsidR="00005CD2" w:rsidRPr="00ED62DC" w14:paraId="5B6179B9" w14:textId="77777777" w:rsidTr="00C61457">
        <w:trPr>
          <w:trHeight w:val="288"/>
        </w:trPr>
        <w:tc>
          <w:tcPr>
            <w:tcW w:w="1180" w:type="dxa"/>
            <w:vMerge w:val="restart"/>
            <w:tcBorders>
              <w:top w:val="single" w:sz="4" w:space="0" w:color="auto"/>
            </w:tcBorders>
            <w:noWrap/>
            <w:hideMark/>
          </w:tcPr>
          <w:p w14:paraId="3415D178" w14:textId="65DACC63" w:rsidR="00005CD2" w:rsidRPr="00ED62DC" w:rsidRDefault="00005CD2" w:rsidP="008F3B51">
            <w:pPr>
              <w:spacing w:after="0" w:line="240" w:lineRule="auto"/>
              <w:jc w:val="both"/>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Month</w:t>
            </w:r>
          </w:p>
        </w:tc>
        <w:tc>
          <w:tcPr>
            <w:tcW w:w="1920" w:type="dxa"/>
            <w:gridSpan w:val="2"/>
            <w:tcBorders>
              <w:top w:val="single" w:sz="4" w:space="0" w:color="auto"/>
            </w:tcBorders>
            <w:noWrap/>
            <w:vAlign w:val="bottom"/>
            <w:hideMark/>
          </w:tcPr>
          <w:p w14:paraId="4411B67B" w14:textId="77777777" w:rsidR="00005CD2" w:rsidRPr="00ED62DC" w:rsidRDefault="00005CD2" w:rsidP="00C61457">
            <w:pPr>
              <w:spacing w:after="0" w:line="240" w:lineRule="auto"/>
              <w:jc w:val="center"/>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Cumin</w:t>
            </w:r>
          </w:p>
        </w:tc>
        <w:tc>
          <w:tcPr>
            <w:tcW w:w="1920" w:type="dxa"/>
            <w:gridSpan w:val="2"/>
            <w:tcBorders>
              <w:top w:val="single" w:sz="4" w:space="0" w:color="auto"/>
            </w:tcBorders>
            <w:noWrap/>
            <w:vAlign w:val="bottom"/>
            <w:hideMark/>
          </w:tcPr>
          <w:p w14:paraId="7692729F" w14:textId="77777777" w:rsidR="00005CD2" w:rsidRPr="00ED62DC" w:rsidRDefault="00005CD2" w:rsidP="00C61457">
            <w:pPr>
              <w:spacing w:after="0" w:line="240" w:lineRule="auto"/>
              <w:jc w:val="center"/>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Coriander</w:t>
            </w:r>
          </w:p>
        </w:tc>
        <w:tc>
          <w:tcPr>
            <w:tcW w:w="1920" w:type="dxa"/>
            <w:gridSpan w:val="2"/>
            <w:tcBorders>
              <w:top w:val="single" w:sz="4" w:space="0" w:color="auto"/>
            </w:tcBorders>
            <w:noWrap/>
            <w:vAlign w:val="bottom"/>
            <w:hideMark/>
          </w:tcPr>
          <w:p w14:paraId="6B442F80" w14:textId="77777777" w:rsidR="00005CD2" w:rsidRPr="00ED62DC" w:rsidRDefault="00005CD2" w:rsidP="00C61457">
            <w:pPr>
              <w:spacing w:after="0" w:line="240" w:lineRule="auto"/>
              <w:jc w:val="center"/>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Fennel</w:t>
            </w:r>
          </w:p>
        </w:tc>
        <w:tc>
          <w:tcPr>
            <w:tcW w:w="1920" w:type="dxa"/>
            <w:gridSpan w:val="2"/>
            <w:tcBorders>
              <w:top w:val="single" w:sz="4" w:space="0" w:color="auto"/>
            </w:tcBorders>
            <w:noWrap/>
            <w:vAlign w:val="bottom"/>
            <w:hideMark/>
          </w:tcPr>
          <w:p w14:paraId="31DF3783" w14:textId="77777777" w:rsidR="00005CD2" w:rsidRPr="00ED62DC" w:rsidRDefault="00005CD2" w:rsidP="00C61457">
            <w:pPr>
              <w:spacing w:after="0" w:line="240" w:lineRule="auto"/>
              <w:jc w:val="center"/>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Fenugreek</w:t>
            </w:r>
          </w:p>
        </w:tc>
      </w:tr>
      <w:tr w:rsidR="00005CD2" w:rsidRPr="00ED62DC" w14:paraId="0B2A943A" w14:textId="77777777" w:rsidTr="00C61457">
        <w:trPr>
          <w:trHeight w:val="111"/>
        </w:trPr>
        <w:tc>
          <w:tcPr>
            <w:tcW w:w="1180" w:type="dxa"/>
            <w:vMerge/>
            <w:tcBorders>
              <w:bottom w:val="single" w:sz="4" w:space="0" w:color="auto"/>
            </w:tcBorders>
            <w:noWrap/>
            <w:vAlign w:val="bottom"/>
            <w:hideMark/>
          </w:tcPr>
          <w:p w14:paraId="4587A5F1" w14:textId="09E2B92C" w:rsidR="00005CD2" w:rsidRPr="00ED62DC" w:rsidRDefault="00005CD2" w:rsidP="008F3B51">
            <w:pPr>
              <w:spacing w:after="0" w:line="240" w:lineRule="auto"/>
              <w:jc w:val="both"/>
              <w:rPr>
                <w:rFonts w:ascii="Times New Roman" w:eastAsia="Times New Roman" w:hAnsi="Times New Roman" w:cs="Times New Roman"/>
                <w:b/>
                <w:bCs/>
                <w:color w:val="000000" w:themeColor="text1"/>
                <w:kern w:val="0"/>
                <w:sz w:val="20"/>
                <w:szCs w:val="20"/>
                <w:lang w:eastAsia="en-IN"/>
                <w14:ligatures w14:val="none"/>
              </w:rPr>
            </w:pPr>
          </w:p>
        </w:tc>
        <w:tc>
          <w:tcPr>
            <w:tcW w:w="960" w:type="dxa"/>
            <w:tcBorders>
              <w:bottom w:val="single" w:sz="4" w:space="0" w:color="auto"/>
            </w:tcBorders>
            <w:noWrap/>
            <w:vAlign w:val="bottom"/>
            <w:hideMark/>
          </w:tcPr>
          <w:p w14:paraId="7FF5F26D" w14:textId="77777777" w:rsidR="00005CD2" w:rsidRPr="00ED62DC" w:rsidRDefault="00005CD2" w:rsidP="008F3B51">
            <w:pPr>
              <w:spacing w:after="0" w:line="240" w:lineRule="auto"/>
              <w:jc w:val="both"/>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2026</w:t>
            </w:r>
          </w:p>
        </w:tc>
        <w:tc>
          <w:tcPr>
            <w:tcW w:w="960" w:type="dxa"/>
            <w:tcBorders>
              <w:bottom w:val="single" w:sz="4" w:space="0" w:color="auto"/>
            </w:tcBorders>
            <w:noWrap/>
            <w:vAlign w:val="bottom"/>
            <w:hideMark/>
          </w:tcPr>
          <w:p w14:paraId="196244AC" w14:textId="77777777" w:rsidR="00005CD2" w:rsidRPr="00ED62DC" w:rsidRDefault="00005CD2" w:rsidP="008F3B51">
            <w:pPr>
              <w:spacing w:after="0" w:line="240" w:lineRule="auto"/>
              <w:jc w:val="both"/>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2025</w:t>
            </w:r>
          </w:p>
        </w:tc>
        <w:tc>
          <w:tcPr>
            <w:tcW w:w="960" w:type="dxa"/>
            <w:tcBorders>
              <w:bottom w:val="single" w:sz="4" w:space="0" w:color="auto"/>
            </w:tcBorders>
            <w:noWrap/>
            <w:vAlign w:val="bottom"/>
            <w:hideMark/>
          </w:tcPr>
          <w:p w14:paraId="69F144BC" w14:textId="77777777" w:rsidR="00005CD2" w:rsidRPr="00ED62DC" w:rsidRDefault="00005CD2" w:rsidP="008F3B51">
            <w:pPr>
              <w:spacing w:after="0" w:line="240" w:lineRule="auto"/>
              <w:jc w:val="both"/>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2026</w:t>
            </w:r>
          </w:p>
        </w:tc>
        <w:tc>
          <w:tcPr>
            <w:tcW w:w="960" w:type="dxa"/>
            <w:tcBorders>
              <w:bottom w:val="single" w:sz="4" w:space="0" w:color="auto"/>
            </w:tcBorders>
            <w:noWrap/>
            <w:vAlign w:val="bottom"/>
            <w:hideMark/>
          </w:tcPr>
          <w:p w14:paraId="67E6E0B9" w14:textId="77777777" w:rsidR="00005CD2" w:rsidRPr="00ED62DC" w:rsidRDefault="00005CD2" w:rsidP="008F3B51">
            <w:pPr>
              <w:spacing w:after="0" w:line="240" w:lineRule="auto"/>
              <w:jc w:val="both"/>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2025</w:t>
            </w:r>
          </w:p>
        </w:tc>
        <w:tc>
          <w:tcPr>
            <w:tcW w:w="960" w:type="dxa"/>
            <w:tcBorders>
              <w:bottom w:val="single" w:sz="4" w:space="0" w:color="auto"/>
            </w:tcBorders>
            <w:noWrap/>
            <w:vAlign w:val="bottom"/>
            <w:hideMark/>
          </w:tcPr>
          <w:p w14:paraId="1F47FFC9" w14:textId="77777777" w:rsidR="00005CD2" w:rsidRPr="00ED62DC" w:rsidRDefault="00005CD2" w:rsidP="008F3B51">
            <w:pPr>
              <w:spacing w:after="0" w:line="240" w:lineRule="auto"/>
              <w:jc w:val="both"/>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2026</w:t>
            </w:r>
          </w:p>
        </w:tc>
        <w:tc>
          <w:tcPr>
            <w:tcW w:w="960" w:type="dxa"/>
            <w:tcBorders>
              <w:bottom w:val="single" w:sz="4" w:space="0" w:color="auto"/>
            </w:tcBorders>
            <w:noWrap/>
            <w:vAlign w:val="bottom"/>
            <w:hideMark/>
          </w:tcPr>
          <w:p w14:paraId="282C8F0C" w14:textId="77777777" w:rsidR="00005CD2" w:rsidRPr="00ED62DC" w:rsidRDefault="00005CD2" w:rsidP="008F3B51">
            <w:pPr>
              <w:spacing w:after="0" w:line="240" w:lineRule="auto"/>
              <w:jc w:val="both"/>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2025</w:t>
            </w:r>
          </w:p>
        </w:tc>
        <w:tc>
          <w:tcPr>
            <w:tcW w:w="960" w:type="dxa"/>
            <w:tcBorders>
              <w:bottom w:val="single" w:sz="4" w:space="0" w:color="auto"/>
            </w:tcBorders>
            <w:noWrap/>
            <w:vAlign w:val="bottom"/>
            <w:hideMark/>
          </w:tcPr>
          <w:p w14:paraId="50788EB5" w14:textId="77777777" w:rsidR="00005CD2" w:rsidRPr="00ED62DC" w:rsidRDefault="00005CD2" w:rsidP="008F3B51">
            <w:pPr>
              <w:spacing w:after="0" w:line="240" w:lineRule="auto"/>
              <w:jc w:val="both"/>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2026</w:t>
            </w:r>
          </w:p>
        </w:tc>
        <w:tc>
          <w:tcPr>
            <w:tcW w:w="960" w:type="dxa"/>
            <w:tcBorders>
              <w:bottom w:val="single" w:sz="4" w:space="0" w:color="auto"/>
            </w:tcBorders>
            <w:noWrap/>
            <w:vAlign w:val="bottom"/>
            <w:hideMark/>
          </w:tcPr>
          <w:p w14:paraId="3C079D4E" w14:textId="77777777" w:rsidR="00005CD2" w:rsidRPr="00ED62DC" w:rsidRDefault="00005CD2" w:rsidP="008F3B51">
            <w:pPr>
              <w:spacing w:after="0" w:line="240" w:lineRule="auto"/>
              <w:jc w:val="both"/>
              <w:rPr>
                <w:rFonts w:ascii="Times New Roman" w:eastAsia="Times New Roman" w:hAnsi="Times New Roman" w:cs="Times New Roman"/>
                <w:b/>
                <w:bCs/>
                <w:color w:val="000000" w:themeColor="text1"/>
                <w:kern w:val="0"/>
                <w:sz w:val="20"/>
                <w:szCs w:val="20"/>
                <w:lang w:eastAsia="en-IN"/>
                <w14:ligatures w14:val="none"/>
              </w:rPr>
            </w:pPr>
            <w:r w:rsidRPr="00ED62DC">
              <w:rPr>
                <w:rFonts w:ascii="Times New Roman" w:eastAsia="Times New Roman" w:hAnsi="Times New Roman" w:cs="Times New Roman"/>
                <w:b/>
                <w:bCs/>
                <w:color w:val="000000" w:themeColor="text1"/>
                <w:kern w:val="0"/>
                <w:sz w:val="20"/>
                <w:szCs w:val="20"/>
                <w:lang w:eastAsia="en-IN"/>
                <w14:ligatures w14:val="none"/>
              </w:rPr>
              <w:t>2025</w:t>
            </w:r>
          </w:p>
        </w:tc>
      </w:tr>
      <w:tr w:rsidR="00005CD2" w:rsidRPr="00ED62DC" w14:paraId="5F04C1AC" w14:textId="77777777" w:rsidTr="00C61457">
        <w:trPr>
          <w:trHeight w:val="288"/>
        </w:trPr>
        <w:tc>
          <w:tcPr>
            <w:tcW w:w="1180" w:type="dxa"/>
            <w:tcBorders>
              <w:top w:val="single" w:sz="4" w:space="0" w:color="auto"/>
            </w:tcBorders>
            <w:noWrap/>
            <w:vAlign w:val="bottom"/>
            <w:hideMark/>
          </w:tcPr>
          <w:p w14:paraId="7B853535"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January</w:t>
            </w:r>
          </w:p>
        </w:tc>
        <w:tc>
          <w:tcPr>
            <w:tcW w:w="960" w:type="dxa"/>
            <w:tcBorders>
              <w:top w:val="single" w:sz="4" w:space="0" w:color="auto"/>
            </w:tcBorders>
            <w:noWrap/>
            <w:vAlign w:val="bottom"/>
            <w:hideMark/>
          </w:tcPr>
          <w:p w14:paraId="40571EAD"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214</w:t>
            </w:r>
          </w:p>
        </w:tc>
        <w:tc>
          <w:tcPr>
            <w:tcW w:w="960" w:type="dxa"/>
            <w:tcBorders>
              <w:top w:val="single" w:sz="4" w:space="0" w:color="auto"/>
            </w:tcBorders>
            <w:noWrap/>
            <w:vAlign w:val="bottom"/>
            <w:hideMark/>
          </w:tcPr>
          <w:p w14:paraId="6940A664"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217</w:t>
            </w:r>
          </w:p>
        </w:tc>
        <w:tc>
          <w:tcPr>
            <w:tcW w:w="960" w:type="dxa"/>
            <w:tcBorders>
              <w:top w:val="single" w:sz="4" w:space="0" w:color="auto"/>
            </w:tcBorders>
            <w:noWrap/>
            <w:vAlign w:val="bottom"/>
            <w:hideMark/>
          </w:tcPr>
          <w:p w14:paraId="703C3878"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85</w:t>
            </w:r>
          </w:p>
        </w:tc>
        <w:tc>
          <w:tcPr>
            <w:tcW w:w="960" w:type="dxa"/>
            <w:tcBorders>
              <w:top w:val="single" w:sz="4" w:space="0" w:color="auto"/>
            </w:tcBorders>
            <w:noWrap/>
            <w:vAlign w:val="bottom"/>
            <w:hideMark/>
          </w:tcPr>
          <w:p w14:paraId="514F543F"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73</w:t>
            </w:r>
          </w:p>
        </w:tc>
        <w:tc>
          <w:tcPr>
            <w:tcW w:w="960" w:type="dxa"/>
            <w:tcBorders>
              <w:top w:val="single" w:sz="4" w:space="0" w:color="auto"/>
            </w:tcBorders>
            <w:noWrap/>
            <w:vAlign w:val="bottom"/>
            <w:hideMark/>
          </w:tcPr>
          <w:p w14:paraId="6B5FCA14"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145</w:t>
            </w:r>
          </w:p>
        </w:tc>
        <w:tc>
          <w:tcPr>
            <w:tcW w:w="960" w:type="dxa"/>
            <w:tcBorders>
              <w:top w:val="single" w:sz="4" w:space="0" w:color="auto"/>
            </w:tcBorders>
            <w:noWrap/>
            <w:vAlign w:val="bottom"/>
            <w:hideMark/>
          </w:tcPr>
          <w:p w14:paraId="54D84F42"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126</w:t>
            </w:r>
          </w:p>
        </w:tc>
        <w:tc>
          <w:tcPr>
            <w:tcW w:w="960" w:type="dxa"/>
            <w:tcBorders>
              <w:top w:val="single" w:sz="4" w:space="0" w:color="auto"/>
            </w:tcBorders>
            <w:noWrap/>
            <w:vAlign w:val="bottom"/>
            <w:hideMark/>
          </w:tcPr>
          <w:p w14:paraId="096589B2"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230</w:t>
            </w:r>
          </w:p>
        </w:tc>
        <w:tc>
          <w:tcPr>
            <w:tcW w:w="960" w:type="dxa"/>
            <w:tcBorders>
              <w:top w:val="single" w:sz="4" w:space="0" w:color="auto"/>
            </w:tcBorders>
            <w:noWrap/>
            <w:vAlign w:val="bottom"/>
            <w:hideMark/>
          </w:tcPr>
          <w:p w14:paraId="176028AA"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87</w:t>
            </w:r>
          </w:p>
        </w:tc>
      </w:tr>
      <w:tr w:rsidR="00005CD2" w:rsidRPr="00ED62DC" w14:paraId="38882B56" w14:textId="77777777" w:rsidTr="00C61457">
        <w:trPr>
          <w:trHeight w:val="288"/>
        </w:trPr>
        <w:tc>
          <w:tcPr>
            <w:tcW w:w="1180" w:type="dxa"/>
            <w:noWrap/>
            <w:vAlign w:val="bottom"/>
            <w:hideMark/>
          </w:tcPr>
          <w:p w14:paraId="5486BB00"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lastRenderedPageBreak/>
              <w:t>February</w:t>
            </w:r>
          </w:p>
        </w:tc>
        <w:tc>
          <w:tcPr>
            <w:tcW w:w="960" w:type="dxa"/>
            <w:noWrap/>
            <w:vAlign w:val="bottom"/>
            <w:hideMark/>
          </w:tcPr>
          <w:p w14:paraId="4FC0CED5"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218</w:t>
            </w:r>
          </w:p>
        </w:tc>
        <w:tc>
          <w:tcPr>
            <w:tcW w:w="960" w:type="dxa"/>
            <w:noWrap/>
            <w:vAlign w:val="bottom"/>
            <w:hideMark/>
          </w:tcPr>
          <w:p w14:paraId="32CBA76F"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200</w:t>
            </w:r>
          </w:p>
        </w:tc>
        <w:tc>
          <w:tcPr>
            <w:tcW w:w="960" w:type="dxa"/>
            <w:noWrap/>
            <w:vAlign w:val="bottom"/>
            <w:hideMark/>
          </w:tcPr>
          <w:p w14:paraId="49E30FEF"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86</w:t>
            </w:r>
          </w:p>
        </w:tc>
        <w:tc>
          <w:tcPr>
            <w:tcW w:w="960" w:type="dxa"/>
            <w:noWrap/>
            <w:vAlign w:val="bottom"/>
            <w:hideMark/>
          </w:tcPr>
          <w:p w14:paraId="26E73006"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82</w:t>
            </w:r>
          </w:p>
        </w:tc>
        <w:tc>
          <w:tcPr>
            <w:tcW w:w="960" w:type="dxa"/>
            <w:noWrap/>
            <w:vAlign w:val="bottom"/>
            <w:hideMark/>
          </w:tcPr>
          <w:p w14:paraId="0E2A14C0"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145</w:t>
            </w:r>
          </w:p>
        </w:tc>
        <w:tc>
          <w:tcPr>
            <w:tcW w:w="960" w:type="dxa"/>
            <w:noWrap/>
            <w:vAlign w:val="bottom"/>
            <w:hideMark/>
          </w:tcPr>
          <w:p w14:paraId="7F6AB08F"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106</w:t>
            </w:r>
          </w:p>
        </w:tc>
        <w:tc>
          <w:tcPr>
            <w:tcW w:w="960" w:type="dxa"/>
            <w:noWrap/>
            <w:vAlign w:val="bottom"/>
            <w:hideMark/>
          </w:tcPr>
          <w:p w14:paraId="3B046199"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166</w:t>
            </w:r>
          </w:p>
        </w:tc>
        <w:tc>
          <w:tcPr>
            <w:tcW w:w="960" w:type="dxa"/>
            <w:noWrap/>
            <w:vAlign w:val="bottom"/>
            <w:hideMark/>
          </w:tcPr>
          <w:p w14:paraId="322109F8"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117</w:t>
            </w:r>
          </w:p>
        </w:tc>
      </w:tr>
      <w:tr w:rsidR="00005CD2" w:rsidRPr="00ED62DC" w14:paraId="1471BC71" w14:textId="77777777" w:rsidTr="00C61457">
        <w:trPr>
          <w:trHeight w:val="288"/>
        </w:trPr>
        <w:tc>
          <w:tcPr>
            <w:tcW w:w="1180" w:type="dxa"/>
            <w:noWrap/>
            <w:vAlign w:val="bottom"/>
            <w:hideMark/>
          </w:tcPr>
          <w:p w14:paraId="5AF35D94"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March</w:t>
            </w:r>
          </w:p>
        </w:tc>
        <w:tc>
          <w:tcPr>
            <w:tcW w:w="960" w:type="dxa"/>
            <w:noWrap/>
            <w:vAlign w:val="bottom"/>
            <w:hideMark/>
          </w:tcPr>
          <w:p w14:paraId="4559E0B7"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209</w:t>
            </w:r>
          </w:p>
        </w:tc>
        <w:tc>
          <w:tcPr>
            <w:tcW w:w="960" w:type="dxa"/>
            <w:noWrap/>
            <w:vAlign w:val="bottom"/>
            <w:hideMark/>
          </w:tcPr>
          <w:p w14:paraId="240EA02D"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216</w:t>
            </w:r>
          </w:p>
        </w:tc>
        <w:tc>
          <w:tcPr>
            <w:tcW w:w="960" w:type="dxa"/>
            <w:noWrap/>
            <w:vAlign w:val="bottom"/>
            <w:hideMark/>
          </w:tcPr>
          <w:p w14:paraId="6023B410"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128</w:t>
            </w:r>
          </w:p>
        </w:tc>
        <w:tc>
          <w:tcPr>
            <w:tcW w:w="960" w:type="dxa"/>
            <w:noWrap/>
            <w:vAlign w:val="bottom"/>
            <w:hideMark/>
          </w:tcPr>
          <w:p w14:paraId="54BFC239"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91</w:t>
            </w:r>
          </w:p>
        </w:tc>
        <w:tc>
          <w:tcPr>
            <w:tcW w:w="960" w:type="dxa"/>
            <w:noWrap/>
            <w:vAlign w:val="bottom"/>
            <w:hideMark/>
          </w:tcPr>
          <w:p w14:paraId="5B8ADA93"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135</w:t>
            </w:r>
          </w:p>
        </w:tc>
        <w:tc>
          <w:tcPr>
            <w:tcW w:w="960" w:type="dxa"/>
            <w:noWrap/>
            <w:vAlign w:val="bottom"/>
            <w:hideMark/>
          </w:tcPr>
          <w:p w14:paraId="78F01962"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178</w:t>
            </w:r>
          </w:p>
        </w:tc>
        <w:tc>
          <w:tcPr>
            <w:tcW w:w="960" w:type="dxa"/>
            <w:noWrap/>
            <w:vAlign w:val="bottom"/>
            <w:hideMark/>
          </w:tcPr>
          <w:p w14:paraId="2E0AB898"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198</w:t>
            </w:r>
          </w:p>
        </w:tc>
        <w:tc>
          <w:tcPr>
            <w:tcW w:w="960" w:type="dxa"/>
            <w:noWrap/>
            <w:vAlign w:val="bottom"/>
            <w:hideMark/>
          </w:tcPr>
          <w:p w14:paraId="6C585996"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102</w:t>
            </w:r>
          </w:p>
        </w:tc>
      </w:tr>
      <w:tr w:rsidR="00005CD2" w:rsidRPr="00ED62DC" w14:paraId="4AF38696" w14:textId="77777777" w:rsidTr="00C61457">
        <w:trPr>
          <w:trHeight w:val="288"/>
        </w:trPr>
        <w:tc>
          <w:tcPr>
            <w:tcW w:w="1180" w:type="dxa"/>
            <w:noWrap/>
            <w:vAlign w:val="bottom"/>
            <w:hideMark/>
          </w:tcPr>
          <w:p w14:paraId="6A56F2B8"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April</w:t>
            </w:r>
          </w:p>
        </w:tc>
        <w:tc>
          <w:tcPr>
            <w:tcW w:w="960" w:type="dxa"/>
            <w:noWrap/>
            <w:vAlign w:val="bottom"/>
            <w:hideMark/>
          </w:tcPr>
          <w:p w14:paraId="24AA7B79"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227</w:t>
            </w:r>
          </w:p>
        </w:tc>
        <w:tc>
          <w:tcPr>
            <w:tcW w:w="960" w:type="dxa"/>
            <w:noWrap/>
            <w:vAlign w:val="bottom"/>
            <w:hideMark/>
          </w:tcPr>
          <w:p w14:paraId="3B4FA9BF"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237</w:t>
            </w:r>
          </w:p>
        </w:tc>
        <w:tc>
          <w:tcPr>
            <w:tcW w:w="960" w:type="dxa"/>
            <w:noWrap/>
            <w:vAlign w:val="bottom"/>
            <w:hideMark/>
          </w:tcPr>
          <w:p w14:paraId="7A2FE797"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135</w:t>
            </w:r>
          </w:p>
        </w:tc>
        <w:tc>
          <w:tcPr>
            <w:tcW w:w="960" w:type="dxa"/>
            <w:noWrap/>
            <w:vAlign w:val="bottom"/>
            <w:hideMark/>
          </w:tcPr>
          <w:p w14:paraId="1AD47894"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90</w:t>
            </w:r>
          </w:p>
        </w:tc>
        <w:tc>
          <w:tcPr>
            <w:tcW w:w="960" w:type="dxa"/>
            <w:noWrap/>
            <w:vAlign w:val="bottom"/>
            <w:hideMark/>
          </w:tcPr>
          <w:p w14:paraId="64228ED2"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195</w:t>
            </w:r>
          </w:p>
        </w:tc>
        <w:tc>
          <w:tcPr>
            <w:tcW w:w="960" w:type="dxa"/>
            <w:noWrap/>
            <w:vAlign w:val="bottom"/>
            <w:hideMark/>
          </w:tcPr>
          <w:p w14:paraId="1CCDEBF4"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115</w:t>
            </w:r>
          </w:p>
        </w:tc>
        <w:tc>
          <w:tcPr>
            <w:tcW w:w="960" w:type="dxa"/>
            <w:noWrap/>
            <w:vAlign w:val="bottom"/>
            <w:hideMark/>
          </w:tcPr>
          <w:p w14:paraId="22E1A511"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134</w:t>
            </w:r>
          </w:p>
        </w:tc>
        <w:tc>
          <w:tcPr>
            <w:tcW w:w="960" w:type="dxa"/>
            <w:noWrap/>
            <w:vAlign w:val="bottom"/>
            <w:hideMark/>
          </w:tcPr>
          <w:p w14:paraId="45864435"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126</w:t>
            </w:r>
          </w:p>
        </w:tc>
      </w:tr>
      <w:tr w:rsidR="00005CD2" w:rsidRPr="00ED62DC" w14:paraId="7584A537" w14:textId="77777777" w:rsidTr="00C61457">
        <w:trPr>
          <w:trHeight w:val="288"/>
        </w:trPr>
        <w:tc>
          <w:tcPr>
            <w:tcW w:w="1180" w:type="dxa"/>
            <w:tcBorders>
              <w:bottom w:val="single" w:sz="4" w:space="0" w:color="auto"/>
            </w:tcBorders>
            <w:noWrap/>
            <w:vAlign w:val="bottom"/>
            <w:hideMark/>
          </w:tcPr>
          <w:p w14:paraId="7B7F0074"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May</w:t>
            </w:r>
          </w:p>
        </w:tc>
        <w:tc>
          <w:tcPr>
            <w:tcW w:w="960" w:type="dxa"/>
            <w:tcBorders>
              <w:bottom w:val="single" w:sz="4" w:space="0" w:color="auto"/>
            </w:tcBorders>
            <w:noWrap/>
            <w:vAlign w:val="bottom"/>
            <w:hideMark/>
          </w:tcPr>
          <w:p w14:paraId="52416BC8"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203</w:t>
            </w:r>
          </w:p>
        </w:tc>
        <w:tc>
          <w:tcPr>
            <w:tcW w:w="960" w:type="dxa"/>
            <w:tcBorders>
              <w:bottom w:val="single" w:sz="4" w:space="0" w:color="auto"/>
            </w:tcBorders>
            <w:noWrap/>
            <w:vAlign w:val="bottom"/>
            <w:hideMark/>
          </w:tcPr>
          <w:p w14:paraId="32D0CB6C"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222</w:t>
            </w:r>
          </w:p>
        </w:tc>
        <w:tc>
          <w:tcPr>
            <w:tcW w:w="960" w:type="dxa"/>
            <w:tcBorders>
              <w:bottom w:val="single" w:sz="4" w:space="0" w:color="auto"/>
            </w:tcBorders>
            <w:noWrap/>
            <w:vAlign w:val="bottom"/>
            <w:hideMark/>
          </w:tcPr>
          <w:p w14:paraId="0F18BA11"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129</w:t>
            </w:r>
          </w:p>
        </w:tc>
        <w:tc>
          <w:tcPr>
            <w:tcW w:w="960" w:type="dxa"/>
            <w:tcBorders>
              <w:bottom w:val="single" w:sz="4" w:space="0" w:color="auto"/>
            </w:tcBorders>
            <w:noWrap/>
            <w:vAlign w:val="bottom"/>
            <w:hideMark/>
          </w:tcPr>
          <w:p w14:paraId="42A6CAC2"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86</w:t>
            </w:r>
          </w:p>
        </w:tc>
        <w:tc>
          <w:tcPr>
            <w:tcW w:w="960" w:type="dxa"/>
            <w:tcBorders>
              <w:bottom w:val="single" w:sz="4" w:space="0" w:color="auto"/>
            </w:tcBorders>
            <w:noWrap/>
            <w:vAlign w:val="bottom"/>
            <w:hideMark/>
          </w:tcPr>
          <w:p w14:paraId="13BD513E"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167</w:t>
            </w:r>
          </w:p>
        </w:tc>
        <w:tc>
          <w:tcPr>
            <w:tcW w:w="960" w:type="dxa"/>
            <w:tcBorders>
              <w:bottom w:val="single" w:sz="4" w:space="0" w:color="auto"/>
            </w:tcBorders>
            <w:noWrap/>
            <w:vAlign w:val="bottom"/>
            <w:hideMark/>
          </w:tcPr>
          <w:p w14:paraId="60E2660D"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135</w:t>
            </w:r>
          </w:p>
        </w:tc>
        <w:tc>
          <w:tcPr>
            <w:tcW w:w="960" w:type="dxa"/>
            <w:tcBorders>
              <w:bottom w:val="single" w:sz="4" w:space="0" w:color="auto"/>
            </w:tcBorders>
            <w:noWrap/>
            <w:vAlign w:val="bottom"/>
            <w:hideMark/>
          </w:tcPr>
          <w:p w14:paraId="6871F935"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148</w:t>
            </w:r>
          </w:p>
        </w:tc>
        <w:tc>
          <w:tcPr>
            <w:tcW w:w="960" w:type="dxa"/>
            <w:tcBorders>
              <w:bottom w:val="single" w:sz="4" w:space="0" w:color="auto"/>
            </w:tcBorders>
            <w:noWrap/>
            <w:vAlign w:val="bottom"/>
            <w:hideMark/>
          </w:tcPr>
          <w:p w14:paraId="77724316" w14:textId="77777777" w:rsidR="00005CD2" w:rsidRPr="00ED62DC" w:rsidRDefault="00005CD2" w:rsidP="008F3B51">
            <w:pPr>
              <w:spacing w:after="0" w:line="240" w:lineRule="auto"/>
              <w:jc w:val="both"/>
              <w:rPr>
                <w:rFonts w:ascii="Times New Roman" w:eastAsia="Times New Roman" w:hAnsi="Times New Roman" w:cs="Times New Roman"/>
                <w:color w:val="000000" w:themeColor="text1"/>
                <w:kern w:val="0"/>
                <w:sz w:val="20"/>
                <w:szCs w:val="20"/>
                <w:lang w:eastAsia="en-IN"/>
                <w14:ligatures w14:val="none"/>
              </w:rPr>
            </w:pPr>
            <w:r w:rsidRPr="00ED62DC">
              <w:rPr>
                <w:rFonts w:ascii="Times New Roman" w:eastAsia="Times New Roman" w:hAnsi="Times New Roman" w:cs="Times New Roman"/>
                <w:color w:val="000000" w:themeColor="text1"/>
                <w:kern w:val="0"/>
                <w:sz w:val="20"/>
                <w:szCs w:val="20"/>
                <w:lang w:eastAsia="en-IN"/>
                <w14:ligatures w14:val="none"/>
              </w:rPr>
              <w:t>121</w:t>
            </w:r>
          </w:p>
        </w:tc>
      </w:tr>
    </w:tbl>
    <w:p w14:paraId="11D8AF84" w14:textId="77777777" w:rsidR="00005CD2" w:rsidRPr="00ED62DC" w:rsidRDefault="00005CD2" w:rsidP="008F3B51">
      <w:pPr>
        <w:spacing w:after="0" w:line="240" w:lineRule="auto"/>
        <w:jc w:val="both"/>
        <w:rPr>
          <w:rFonts w:ascii="Times New Roman" w:hAnsi="Times New Roman" w:cs="Times New Roman"/>
          <w:color w:val="000000" w:themeColor="text1"/>
          <w:spacing w:val="-2"/>
          <w:w w:val="120"/>
          <w:sz w:val="20"/>
          <w:szCs w:val="20"/>
        </w:rPr>
      </w:pPr>
    </w:p>
    <w:p w14:paraId="42585E7C" w14:textId="77777777" w:rsidR="00C61457" w:rsidRPr="00ED62DC" w:rsidRDefault="00C61457" w:rsidP="008F3B51">
      <w:pPr>
        <w:spacing w:after="0" w:line="240" w:lineRule="auto"/>
        <w:jc w:val="both"/>
        <w:rPr>
          <w:rFonts w:ascii="Times New Roman" w:hAnsi="Times New Roman" w:cs="Times New Roman"/>
          <w:color w:val="000000" w:themeColor="text1"/>
          <w:sz w:val="20"/>
          <w:szCs w:val="20"/>
        </w:rPr>
        <w:sectPr w:rsidR="00C61457" w:rsidRPr="00ED62DC" w:rsidSect="00BC29BB">
          <w:type w:val="continuous"/>
          <w:pgSz w:w="11906" w:h="16838"/>
          <w:pgMar w:top="1440" w:right="1440" w:bottom="1440" w:left="1440" w:header="1134" w:footer="708" w:gutter="0"/>
          <w:cols w:space="708"/>
          <w:docGrid w:linePitch="360"/>
        </w:sectPr>
      </w:pPr>
    </w:p>
    <w:p w14:paraId="55FEDDF1" w14:textId="2BA0D37B" w:rsidR="00005CD2" w:rsidRPr="00ED62DC" w:rsidRDefault="00033F76" w:rsidP="008F3B51">
      <w:pPr>
        <w:spacing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lastRenderedPageBreak/>
        <w:t>Coriander prices showed a mixed but relatively resilient trend</w:t>
      </w:r>
      <w:r w:rsidR="00DB2EC7" w:rsidRPr="00ED62DC">
        <w:rPr>
          <w:rFonts w:ascii="Times New Roman" w:hAnsi="Times New Roman" w:cs="Times New Roman"/>
          <w:color w:val="000000" w:themeColor="text1"/>
          <w:sz w:val="20"/>
          <w:szCs w:val="20"/>
        </w:rPr>
        <w:t xml:space="preserve"> (Figure 1)</w:t>
      </w:r>
      <w:r w:rsidRPr="00ED62DC">
        <w:rPr>
          <w:rFonts w:ascii="Times New Roman" w:hAnsi="Times New Roman" w:cs="Times New Roman"/>
          <w:color w:val="000000" w:themeColor="text1"/>
          <w:sz w:val="20"/>
          <w:szCs w:val="20"/>
        </w:rPr>
        <w:t xml:space="preserve">. During May to December 2025, prices mostly remained lower (₹68-88/kg) than last year (₹70-103/kg). Since coriander exports are </w:t>
      </w:r>
      <w:r w:rsidRPr="00ED62DC">
        <w:rPr>
          <w:rFonts w:ascii="Times New Roman" w:hAnsi="Times New Roman" w:cs="Times New Roman"/>
          <w:color w:val="000000" w:themeColor="text1"/>
          <w:sz w:val="20"/>
          <w:szCs w:val="20"/>
        </w:rPr>
        <w:lastRenderedPageBreak/>
        <w:t xml:space="preserve">relatively smaller than cumin exports, the </w:t>
      </w:r>
      <w:r w:rsidR="008D6C3E" w:rsidRPr="00ED62DC">
        <w:rPr>
          <w:rFonts w:ascii="Times New Roman" w:hAnsi="Times New Roman" w:cs="Times New Roman"/>
          <w:color w:val="000000" w:themeColor="text1"/>
          <w:sz w:val="20"/>
          <w:szCs w:val="20"/>
        </w:rPr>
        <w:t>change</w:t>
      </w:r>
      <w:r w:rsidRPr="00ED62DC">
        <w:rPr>
          <w:rFonts w:ascii="Times New Roman" w:hAnsi="Times New Roman" w:cs="Times New Roman"/>
          <w:color w:val="000000" w:themeColor="text1"/>
          <w:sz w:val="20"/>
          <w:szCs w:val="20"/>
        </w:rPr>
        <w:t xml:space="preserve"> was limited. Nevertheless, higher transportation and marketing costs indirectly supported prices during the later part of the season.</w:t>
      </w:r>
    </w:p>
    <w:p w14:paraId="532D86F3" w14:textId="77777777" w:rsidR="00C61457" w:rsidRPr="00ED62DC" w:rsidRDefault="00C61457" w:rsidP="008F3B51">
      <w:pPr>
        <w:spacing w:after="0" w:line="240" w:lineRule="auto"/>
        <w:jc w:val="both"/>
        <w:rPr>
          <w:rFonts w:ascii="Times New Roman" w:hAnsi="Times New Roman" w:cs="Times New Roman"/>
          <w:color w:val="000000" w:themeColor="text1"/>
          <w:sz w:val="20"/>
          <w:szCs w:val="20"/>
        </w:rPr>
        <w:sectPr w:rsidR="00C61457" w:rsidRPr="00ED62DC" w:rsidSect="00917078">
          <w:type w:val="continuous"/>
          <w:pgSz w:w="11906" w:h="16838"/>
          <w:pgMar w:top="1440" w:right="1440" w:bottom="1440" w:left="1440" w:header="1134" w:footer="708" w:gutter="0"/>
          <w:cols w:num="2" w:space="566"/>
          <w:docGrid w:linePitch="360"/>
        </w:sectPr>
      </w:pPr>
    </w:p>
    <w:p w14:paraId="2782A87C" w14:textId="77777777" w:rsidR="00B32C59" w:rsidRPr="00ED62DC" w:rsidRDefault="00B32C59" w:rsidP="008F3B51">
      <w:pPr>
        <w:spacing w:after="0" w:line="240" w:lineRule="auto"/>
        <w:jc w:val="both"/>
        <w:rPr>
          <w:rFonts w:ascii="Times New Roman" w:hAnsi="Times New Roman" w:cs="Times New Roman"/>
          <w:color w:val="000000" w:themeColor="text1"/>
          <w:sz w:val="20"/>
          <w:szCs w:val="20"/>
        </w:rPr>
      </w:pPr>
    </w:p>
    <w:p w14:paraId="2359BD27" w14:textId="0B542969" w:rsidR="009B4E9C" w:rsidRPr="00ED62DC" w:rsidRDefault="009B4E9C" w:rsidP="008F3B51">
      <w:pPr>
        <w:spacing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noProof/>
          <w:color w:val="000000" w:themeColor="text1"/>
          <w:sz w:val="20"/>
          <w:szCs w:val="20"/>
          <w:lang w:eastAsia="en-IN"/>
        </w:rPr>
        <w:drawing>
          <wp:inline distT="0" distB="0" distL="0" distR="0" wp14:anchorId="36C553B9" wp14:editId="4B894E0F">
            <wp:extent cx="5731510" cy="2415540"/>
            <wp:effectExtent l="0" t="0" r="2540" b="3810"/>
            <wp:docPr id="1419501245" name="Chart 1">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0BE1A71" w14:textId="77777777" w:rsidR="00C61457" w:rsidRPr="00ED62DC" w:rsidRDefault="00C61457" w:rsidP="008F3B51">
      <w:pPr>
        <w:spacing w:after="0" w:line="240" w:lineRule="auto"/>
        <w:jc w:val="both"/>
        <w:rPr>
          <w:rFonts w:ascii="Times New Roman" w:hAnsi="Times New Roman" w:cs="Times New Roman"/>
          <w:b/>
          <w:bCs/>
          <w:color w:val="000000" w:themeColor="text1"/>
          <w:sz w:val="20"/>
          <w:szCs w:val="20"/>
        </w:rPr>
      </w:pPr>
    </w:p>
    <w:p w14:paraId="6C5BD849" w14:textId="149EF232" w:rsidR="009B4E9C" w:rsidRPr="00ED62DC" w:rsidRDefault="009B4E9C" w:rsidP="00C052B7">
      <w:pPr>
        <w:spacing w:after="0" w:line="240" w:lineRule="auto"/>
        <w:jc w:val="center"/>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 xml:space="preserve">Figure 1. </w:t>
      </w:r>
      <w:r w:rsidR="009049A9" w:rsidRPr="00ED62DC">
        <w:rPr>
          <w:rFonts w:ascii="Times New Roman" w:hAnsi="Times New Roman" w:cs="Times New Roman"/>
          <w:color w:val="000000" w:themeColor="text1"/>
          <w:sz w:val="20"/>
          <w:szCs w:val="20"/>
        </w:rPr>
        <w:t xml:space="preserve">Trends in </w:t>
      </w:r>
      <w:r w:rsidR="00F72058" w:rsidRPr="00ED62DC">
        <w:rPr>
          <w:rFonts w:ascii="Times New Roman" w:hAnsi="Times New Roman" w:cs="Times New Roman"/>
          <w:color w:val="000000" w:themeColor="text1"/>
          <w:sz w:val="20"/>
          <w:szCs w:val="20"/>
        </w:rPr>
        <w:t xml:space="preserve">weekly </w:t>
      </w:r>
      <w:r w:rsidR="009049A9" w:rsidRPr="00ED62DC">
        <w:rPr>
          <w:rFonts w:ascii="Times New Roman" w:hAnsi="Times New Roman" w:cs="Times New Roman"/>
          <w:color w:val="000000" w:themeColor="text1"/>
          <w:sz w:val="20"/>
          <w:szCs w:val="20"/>
        </w:rPr>
        <w:t>coriander p</w:t>
      </w:r>
      <w:r w:rsidRPr="00ED62DC">
        <w:rPr>
          <w:rFonts w:ascii="Times New Roman" w:hAnsi="Times New Roman" w:cs="Times New Roman"/>
          <w:color w:val="000000" w:themeColor="text1"/>
          <w:sz w:val="20"/>
          <w:szCs w:val="20"/>
        </w:rPr>
        <w:t>rice (</w:t>
      </w:r>
      <w:proofErr w:type="spellStart"/>
      <w:r w:rsidRPr="00ED62DC">
        <w:rPr>
          <w:rFonts w:ascii="Times New Roman" w:hAnsi="Times New Roman" w:cs="Times New Roman"/>
          <w:color w:val="000000" w:themeColor="text1"/>
          <w:sz w:val="20"/>
          <w:szCs w:val="20"/>
        </w:rPr>
        <w:t>Rs</w:t>
      </w:r>
      <w:proofErr w:type="spellEnd"/>
      <w:r w:rsidRPr="00ED62DC">
        <w:rPr>
          <w:rFonts w:ascii="Times New Roman" w:hAnsi="Times New Roman" w:cs="Times New Roman"/>
          <w:color w:val="000000" w:themeColor="text1"/>
          <w:sz w:val="20"/>
          <w:szCs w:val="20"/>
        </w:rPr>
        <w:t xml:space="preserve">/kg) </w:t>
      </w:r>
      <w:r w:rsidR="009049A9" w:rsidRPr="00ED62DC">
        <w:rPr>
          <w:rFonts w:ascii="Times New Roman" w:hAnsi="Times New Roman" w:cs="Times New Roman"/>
          <w:color w:val="000000" w:themeColor="text1"/>
          <w:sz w:val="20"/>
          <w:szCs w:val="20"/>
        </w:rPr>
        <w:t xml:space="preserve">in </w:t>
      </w:r>
      <w:proofErr w:type="spellStart"/>
      <w:r w:rsidR="009049A9" w:rsidRPr="00ED62DC">
        <w:rPr>
          <w:rFonts w:ascii="Times New Roman" w:hAnsi="Times New Roman" w:cs="Times New Roman"/>
          <w:color w:val="000000" w:themeColor="text1"/>
          <w:sz w:val="20"/>
          <w:szCs w:val="20"/>
        </w:rPr>
        <w:t>Ramganjmandi</w:t>
      </w:r>
      <w:proofErr w:type="spellEnd"/>
      <w:r w:rsidR="009049A9" w:rsidRPr="00ED62DC">
        <w:rPr>
          <w:rFonts w:ascii="Times New Roman" w:hAnsi="Times New Roman" w:cs="Times New Roman"/>
          <w:color w:val="000000" w:themeColor="text1"/>
          <w:sz w:val="20"/>
          <w:szCs w:val="20"/>
        </w:rPr>
        <w:t xml:space="preserve"> fr</w:t>
      </w:r>
      <w:r w:rsidR="00204CF2" w:rsidRPr="00ED62DC">
        <w:rPr>
          <w:rFonts w:ascii="Times New Roman" w:hAnsi="Times New Roman" w:cs="Times New Roman"/>
          <w:color w:val="000000" w:themeColor="text1"/>
          <w:sz w:val="20"/>
          <w:szCs w:val="20"/>
        </w:rPr>
        <w:t>o</w:t>
      </w:r>
      <w:r w:rsidR="009049A9" w:rsidRPr="00ED62DC">
        <w:rPr>
          <w:rFonts w:ascii="Times New Roman" w:hAnsi="Times New Roman" w:cs="Times New Roman"/>
          <w:color w:val="000000" w:themeColor="text1"/>
          <w:sz w:val="20"/>
          <w:szCs w:val="20"/>
        </w:rPr>
        <w:t>m</w:t>
      </w:r>
      <w:r w:rsidRPr="00ED62DC">
        <w:rPr>
          <w:rFonts w:ascii="Times New Roman" w:hAnsi="Times New Roman" w:cs="Times New Roman"/>
          <w:color w:val="000000" w:themeColor="text1"/>
          <w:sz w:val="20"/>
          <w:szCs w:val="20"/>
        </w:rPr>
        <w:t xml:space="preserve"> May 2024 to May 2026</w:t>
      </w:r>
    </w:p>
    <w:p w14:paraId="5D9031E2" w14:textId="77777777" w:rsidR="00917078" w:rsidRPr="00ED62DC" w:rsidRDefault="00917078" w:rsidP="008F3B51">
      <w:pPr>
        <w:spacing w:before="240" w:after="0" w:line="240" w:lineRule="auto"/>
        <w:jc w:val="both"/>
        <w:rPr>
          <w:rFonts w:ascii="Times New Roman" w:hAnsi="Times New Roman" w:cs="Times New Roman"/>
          <w:color w:val="000000" w:themeColor="text1"/>
          <w:sz w:val="20"/>
          <w:szCs w:val="20"/>
        </w:rPr>
        <w:sectPr w:rsidR="00917078" w:rsidRPr="00ED62DC" w:rsidSect="00BC29BB">
          <w:type w:val="continuous"/>
          <w:pgSz w:w="11906" w:h="16838"/>
          <w:pgMar w:top="1440" w:right="1440" w:bottom="1440" w:left="1440" w:header="1134" w:footer="708" w:gutter="0"/>
          <w:cols w:space="708"/>
          <w:docGrid w:linePitch="360"/>
        </w:sectPr>
      </w:pPr>
    </w:p>
    <w:p w14:paraId="1DAF154F" w14:textId="77777777" w:rsidR="00C052B7" w:rsidRPr="00ED62DC" w:rsidRDefault="00033F76" w:rsidP="008F3B51">
      <w:pPr>
        <w:spacing w:before="240"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lastRenderedPageBreak/>
        <w:t xml:space="preserve">Cumin recorded the most </w:t>
      </w:r>
      <w:r w:rsidR="00CE5507" w:rsidRPr="00ED62DC">
        <w:rPr>
          <w:rFonts w:ascii="Times New Roman" w:hAnsi="Times New Roman" w:cs="Times New Roman"/>
          <w:color w:val="000000" w:themeColor="text1"/>
          <w:sz w:val="20"/>
          <w:szCs w:val="20"/>
        </w:rPr>
        <w:t>decreasing export demand</w:t>
      </w:r>
      <w:r w:rsidR="00DB2EC7" w:rsidRPr="00ED62DC">
        <w:rPr>
          <w:rFonts w:ascii="Times New Roman" w:hAnsi="Times New Roman" w:cs="Times New Roman"/>
          <w:color w:val="000000" w:themeColor="text1"/>
          <w:sz w:val="20"/>
          <w:szCs w:val="20"/>
        </w:rPr>
        <w:t xml:space="preserve"> (Figure 2)</w:t>
      </w:r>
      <w:r w:rsidRPr="00ED62DC">
        <w:rPr>
          <w:rFonts w:ascii="Times New Roman" w:hAnsi="Times New Roman" w:cs="Times New Roman"/>
          <w:color w:val="000000" w:themeColor="text1"/>
          <w:sz w:val="20"/>
          <w:szCs w:val="20"/>
        </w:rPr>
        <w:t>. Average weekly prices during May 2025</w:t>
      </w:r>
      <w:r w:rsidR="00134683" w:rsidRPr="00ED62DC">
        <w:rPr>
          <w:rFonts w:ascii="Times New Roman" w:hAnsi="Times New Roman" w:cs="Times New Roman"/>
          <w:color w:val="000000" w:themeColor="text1"/>
          <w:sz w:val="20"/>
          <w:szCs w:val="20"/>
        </w:rPr>
        <w:t xml:space="preserve"> to </w:t>
      </w:r>
      <w:r w:rsidRPr="00ED62DC">
        <w:rPr>
          <w:rFonts w:ascii="Times New Roman" w:hAnsi="Times New Roman" w:cs="Times New Roman"/>
          <w:color w:val="000000" w:themeColor="text1"/>
          <w:sz w:val="20"/>
          <w:szCs w:val="20"/>
        </w:rPr>
        <w:t>May 2026 remained consistently below the previous year's levels. Prices declined from ₹2</w:t>
      </w:r>
      <w:r w:rsidR="00134683" w:rsidRPr="00ED62DC">
        <w:rPr>
          <w:rFonts w:ascii="Times New Roman" w:hAnsi="Times New Roman" w:cs="Times New Roman"/>
          <w:color w:val="000000" w:themeColor="text1"/>
          <w:sz w:val="20"/>
          <w:szCs w:val="20"/>
        </w:rPr>
        <w:t>1</w:t>
      </w:r>
      <w:r w:rsidRPr="00ED62DC">
        <w:rPr>
          <w:rFonts w:ascii="Times New Roman" w:hAnsi="Times New Roman" w:cs="Times New Roman"/>
          <w:color w:val="000000" w:themeColor="text1"/>
          <w:sz w:val="20"/>
          <w:szCs w:val="20"/>
        </w:rPr>
        <w:t>5/kg in May 202</w:t>
      </w:r>
      <w:r w:rsidR="00134683" w:rsidRPr="00ED62DC">
        <w:rPr>
          <w:rFonts w:ascii="Times New Roman" w:hAnsi="Times New Roman" w:cs="Times New Roman"/>
          <w:color w:val="000000" w:themeColor="text1"/>
          <w:sz w:val="20"/>
          <w:szCs w:val="20"/>
        </w:rPr>
        <w:t xml:space="preserve">4 </w:t>
      </w:r>
      <w:r w:rsidRPr="00ED62DC">
        <w:rPr>
          <w:rFonts w:ascii="Times New Roman" w:hAnsi="Times New Roman" w:cs="Times New Roman"/>
          <w:color w:val="000000" w:themeColor="text1"/>
          <w:sz w:val="20"/>
          <w:szCs w:val="20"/>
        </w:rPr>
        <w:t>compared with ₹</w:t>
      </w:r>
      <w:r w:rsidR="00134683" w:rsidRPr="00ED62DC">
        <w:rPr>
          <w:rFonts w:ascii="Times New Roman" w:hAnsi="Times New Roman" w:cs="Times New Roman"/>
          <w:color w:val="000000" w:themeColor="text1"/>
          <w:sz w:val="20"/>
          <w:szCs w:val="20"/>
        </w:rPr>
        <w:t>115</w:t>
      </w:r>
      <w:r w:rsidRPr="00ED62DC">
        <w:rPr>
          <w:rFonts w:ascii="Times New Roman" w:hAnsi="Times New Roman" w:cs="Times New Roman"/>
          <w:color w:val="000000" w:themeColor="text1"/>
          <w:sz w:val="20"/>
          <w:szCs w:val="20"/>
        </w:rPr>
        <w:t>/kg last year and generally remained 10</w:t>
      </w:r>
      <w:r w:rsidR="00134683" w:rsidRPr="00ED62DC">
        <w:rPr>
          <w:rFonts w:ascii="Times New Roman" w:hAnsi="Times New Roman" w:cs="Times New Roman"/>
          <w:color w:val="000000" w:themeColor="text1"/>
          <w:sz w:val="20"/>
          <w:szCs w:val="20"/>
        </w:rPr>
        <w:t xml:space="preserve"> to </w:t>
      </w:r>
      <w:r w:rsidRPr="00ED62DC">
        <w:rPr>
          <w:rFonts w:ascii="Times New Roman" w:hAnsi="Times New Roman" w:cs="Times New Roman"/>
          <w:color w:val="000000" w:themeColor="text1"/>
          <w:sz w:val="20"/>
          <w:szCs w:val="20"/>
        </w:rPr>
        <w:t>25% lower throughout the year.</w:t>
      </w:r>
      <w:r w:rsidR="00134683" w:rsidRPr="00ED62DC">
        <w:rPr>
          <w:rFonts w:ascii="Times New Roman" w:hAnsi="Times New Roman" w:cs="Times New Roman"/>
          <w:color w:val="000000" w:themeColor="text1"/>
          <w:sz w:val="20"/>
          <w:szCs w:val="20"/>
        </w:rPr>
        <w:t xml:space="preserve"> The decline was mainly due to weak export demand from China and Bangladesh, coupled with </w:t>
      </w:r>
    </w:p>
    <w:p w14:paraId="468EF316" w14:textId="33DC18C5" w:rsidR="00D1296B" w:rsidRPr="00ED62DC" w:rsidRDefault="00134683" w:rsidP="008F3B51">
      <w:pPr>
        <w:spacing w:before="240"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lastRenderedPageBreak/>
        <w:t>disruptions in West Asian trade caused by the Iran war. Reports indicate that cumin exports from Gujarat declined by about 12.5%, while freight surcharges and shipment cancellations further depressed market sentiment (</w:t>
      </w:r>
      <w:r w:rsidR="00CE5507" w:rsidRPr="00ED62DC">
        <w:rPr>
          <w:rFonts w:ascii="Times New Roman" w:hAnsi="Times New Roman" w:cs="Times New Roman"/>
          <w:color w:val="000000" w:themeColor="text1"/>
          <w:sz w:val="20"/>
          <w:szCs w:val="20"/>
        </w:rPr>
        <w:t>Parikh, 2026</w:t>
      </w:r>
      <w:r w:rsidRPr="00ED62DC">
        <w:rPr>
          <w:rFonts w:ascii="Times New Roman" w:hAnsi="Times New Roman" w:cs="Times New Roman"/>
          <w:color w:val="000000" w:themeColor="text1"/>
          <w:sz w:val="20"/>
          <w:szCs w:val="20"/>
        </w:rPr>
        <w:t xml:space="preserve">). </w:t>
      </w:r>
      <w:r w:rsidR="00D1296B" w:rsidRPr="00ED62DC">
        <w:rPr>
          <w:rFonts w:ascii="Times New Roman" w:hAnsi="Times New Roman" w:cs="Times New Roman"/>
          <w:color w:val="000000" w:themeColor="text1"/>
          <w:sz w:val="20"/>
          <w:szCs w:val="20"/>
        </w:rPr>
        <w:t xml:space="preserve">West Asia tensions escalated earlier this year, particularly in Feb and March, demand momentum has weakened significantly. </w:t>
      </w:r>
    </w:p>
    <w:p w14:paraId="7FD69E7D" w14:textId="77777777" w:rsidR="00917078" w:rsidRPr="00ED62DC" w:rsidRDefault="00917078" w:rsidP="008F3B51">
      <w:pPr>
        <w:spacing w:before="240" w:after="0" w:line="240" w:lineRule="auto"/>
        <w:jc w:val="both"/>
        <w:rPr>
          <w:rFonts w:ascii="Times New Roman" w:hAnsi="Times New Roman" w:cs="Times New Roman"/>
          <w:color w:val="000000" w:themeColor="text1"/>
          <w:sz w:val="20"/>
          <w:szCs w:val="20"/>
        </w:rPr>
        <w:sectPr w:rsidR="00917078" w:rsidRPr="00ED62DC" w:rsidSect="00917078">
          <w:type w:val="continuous"/>
          <w:pgSz w:w="11906" w:h="16838"/>
          <w:pgMar w:top="1440" w:right="1440" w:bottom="1440" w:left="1440" w:header="1134" w:footer="708" w:gutter="0"/>
          <w:cols w:num="2" w:space="708"/>
          <w:docGrid w:linePitch="360"/>
        </w:sectPr>
      </w:pPr>
    </w:p>
    <w:p w14:paraId="59E3089B" w14:textId="3EF48B40" w:rsidR="009B4E9C" w:rsidRPr="00ED62DC" w:rsidRDefault="00D1296B" w:rsidP="008F3B51">
      <w:pPr>
        <w:spacing w:before="240"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10"/>
          <w:szCs w:val="10"/>
        </w:rPr>
        <w:lastRenderedPageBreak/>
        <w:br/>
      </w:r>
      <w:r w:rsidR="009B4E9C" w:rsidRPr="00ED62DC">
        <w:rPr>
          <w:rFonts w:ascii="Times New Roman" w:hAnsi="Times New Roman" w:cs="Times New Roman"/>
          <w:noProof/>
          <w:color w:val="000000" w:themeColor="text1"/>
          <w:sz w:val="20"/>
          <w:szCs w:val="20"/>
          <w:lang w:eastAsia="en-IN"/>
        </w:rPr>
        <w:drawing>
          <wp:inline distT="0" distB="0" distL="0" distR="0" wp14:anchorId="066F4CCD" wp14:editId="354F4B2B">
            <wp:extent cx="5731510" cy="1918854"/>
            <wp:effectExtent l="0" t="0" r="2540" b="5715"/>
            <wp:docPr id="1805456263" name="Chart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95A3984" w14:textId="77777777" w:rsidR="00C052B7" w:rsidRPr="00ED62DC" w:rsidRDefault="00C052B7" w:rsidP="008F3B51">
      <w:pPr>
        <w:spacing w:after="0" w:line="240" w:lineRule="auto"/>
        <w:jc w:val="both"/>
        <w:rPr>
          <w:rFonts w:ascii="Times New Roman" w:hAnsi="Times New Roman" w:cs="Times New Roman"/>
          <w:b/>
          <w:bCs/>
          <w:color w:val="000000" w:themeColor="text1"/>
          <w:sz w:val="20"/>
          <w:szCs w:val="20"/>
        </w:rPr>
      </w:pPr>
    </w:p>
    <w:p w14:paraId="39866BA1" w14:textId="01D5FD11" w:rsidR="009B4E9C" w:rsidRPr="00ED62DC" w:rsidRDefault="009B4E9C" w:rsidP="00C052B7">
      <w:pPr>
        <w:spacing w:after="0" w:line="240" w:lineRule="auto"/>
        <w:jc w:val="center"/>
        <w:rPr>
          <w:rFonts w:ascii="Times New Roman" w:hAnsi="Times New Roman" w:cs="Times New Roman"/>
          <w:color w:val="000000" w:themeColor="text1"/>
          <w:sz w:val="20"/>
          <w:szCs w:val="20"/>
        </w:rPr>
      </w:pPr>
      <w:r w:rsidRPr="00ED62DC">
        <w:rPr>
          <w:rFonts w:ascii="Times New Roman" w:hAnsi="Times New Roman" w:cs="Times New Roman"/>
          <w:b/>
          <w:bCs/>
          <w:color w:val="000000" w:themeColor="text1"/>
          <w:sz w:val="20"/>
          <w:szCs w:val="20"/>
        </w:rPr>
        <w:t xml:space="preserve">Figure 2. </w:t>
      </w:r>
      <w:r w:rsidR="009049A9" w:rsidRPr="00ED62DC">
        <w:rPr>
          <w:rFonts w:ascii="Times New Roman" w:hAnsi="Times New Roman" w:cs="Times New Roman"/>
          <w:color w:val="000000" w:themeColor="text1"/>
          <w:sz w:val="20"/>
          <w:szCs w:val="20"/>
        </w:rPr>
        <w:t xml:space="preserve">Trends in </w:t>
      </w:r>
      <w:r w:rsidR="001F072D" w:rsidRPr="00ED62DC">
        <w:rPr>
          <w:rFonts w:ascii="Times New Roman" w:hAnsi="Times New Roman" w:cs="Times New Roman"/>
          <w:color w:val="000000" w:themeColor="text1"/>
          <w:sz w:val="20"/>
          <w:szCs w:val="20"/>
        </w:rPr>
        <w:t xml:space="preserve">weekly </w:t>
      </w:r>
      <w:r w:rsidR="009049A9" w:rsidRPr="00ED62DC">
        <w:rPr>
          <w:rFonts w:ascii="Times New Roman" w:hAnsi="Times New Roman" w:cs="Times New Roman"/>
          <w:color w:val="000000" w:themeColor="text1"/>
          <w:sz w:val="20"/>
          <w:szCs w:val="20"/>
        </w:rPr>
        <w:t>cumin price (</w:t>
      </w:r>
      <w:proofErr w:type="spellStart"/>
      <w:r w:rsidR="009049A9" w:rsidRPr="00ED62DC">
        <w:rPr>
          <w:rFonts w:ascii="Times New Roman" w:hAnsi="Times New Roman" w:cs="Times New Roman"/>
          <w:color w:val="000000" w:themeColor="text1"/>
          <w:sz w:val="20"/>
          <w:szCs w:val="20"/>
        </w:rPr>
        <w:t>Rs</w:t>
      </w:r>
      <w:proofErr w:type="spellEnd"/>
      <w:r w:rsidR="009049A9" w:rsidRPr="00ED62DC">
        <w:rPr>
          <w:rFonts w:ascii="Times New Roman" w:hAnsi="Times New Roman" w:cs="Times New Roman"/>
          <w:color w:val="000000" w:themeColor="text1"/>
          <w:sz w:val="20"/>
          <w:szCs w:val="20"/>
        </w:rPr>
        <w:t xml:space="preserve">/kg) in </w:t>
      </w:r>
      <w:proofErr w:type="spellStart"/>
      <w:r w:rsidR="009049A9" w:rsidRPr="00ED62DC">
        <w:rPr>
          <w:rFonts w:ascii="Times New Roman" w:hAnsi="Times New Roman" w:cs="Times New Roman"/>
          <w:color w:val="000000" w:themeColor="text1"/>
          <w:sz w:val="20"/>
          <w:szCs w:val="20"/>
        </w:rPr>
        <w:t>Unjha</w:t>
      </w:r>
      <w:proofErr w:type="spellEnd"/>
      <w:r w:rsidR="009049A9" w:rsidRPr="00ED62DC">
        <w:rPr>
          <w:rFonts w:ascii="Times New Roman" w:hAnsi="Times New Roman" w:cs="Times New Roman"/>
          <w:color w:val="000000" w:themeColor="text1"/>
          <w:sz w:val="20"/>
          <w:szCs w:val="20"/>
        </w:rPr>
        <w:t xml:space="preserve"> </w:t>
      </w:r>
      <w:r w:rsidR="00204CF2" w:rsidRPr="00ED62DC">
        <w:rPr>
          <w:rFonts w:ascii="Times New Roman" w:hAnsi="Times New Roman" w:cs="Times New Roman"/>
          <w:color w:val="000000" w:themeColor="text1"/>
          <w:sz w:val="20"/>
          <w:szCs w:val="20"/>
        </w:rPr>
        <w:t xml:space="preserve">from </w:t>
      </w:r>
      <w:r w:rsidRPr="00ED62DC">
        <w:rPr>
          <w:rFonts w:ascii="Times New Roman" w:hAnsi="Times New Roman" w:cs="Times New Roman"/>
          <w:color w:val="000000" w:themeColor="text1"/>
          <w:sz w:val="20"/>
          <w:szCs w:val="20"/>
        </w:rPr>
        <w:t>May 2024 to May 2026</w:t>
      </w:r>
    </w:p>
    <w:p w14:paraId="655D233E" w14:textId="77777777" w:rsidR="00C052B7" w:rsidRPr="00ED62DC" w:rsidRDefault="00C052B7" w:rsidP="008F3B51">
      <w:pPr>
        <w:spacing w:after="0" w:line="240" w:lineRule="auto"/>
        <w:jc w:val="both"/>
        <w:rPr>
          <w:rFonts w:ascii="Times New Roman" w:hAnsi="Times New Roman" w:cs="Times New Roman"/>
          <w:color w:val="000000" w:themeColor="text1"/>
          <w:sz w:val="20"/>
          <w:szCs w:val="20"/>
        </w:rPr>
        <w:sectPr w:rsidR="00C052B7" w:rsidRPr="00ED62DC" w:rsidSect="00BC29BB">
          <w:type w:val="continuous"/>
          <w:pgSz w:w="11906" w:h="16838"/>
          <w:pgMar w:top="1440" w:right="1440" w:bottom="1440" w:left="1440" w:header="1134" w:footer="708" w:gutter="0"/>
          <w:cols w:space="708"/>
          <w:docGrid w:linePitch="360"/>
        </w:sectPr>
      </w:pPr>
    </w:p>
    <w:p w14:paraId="2FFD1DAD" w14:textId="4C0D94AE" w:rsidR="0009518B" w:rsidRPr="00ED62DC" w:rsidRDefault="00DB2EC7" w:rsidP="008F3B51">
      <w:pPr>
        <w:spacing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lastRenderedPageBreak/>
        <w:t>F</w:t>
      </w:r>
      <w:r w:rsidR="0009518B" w:rsidRPr="00ED62DC">
        <w:rPr>
          <w:rFonts w:ascii="Times New Roman" w:hAnsi="Times New Roman" w:cs="Times New Roman"/>
          <w:color w:val="000000" w:themeColor="text1"/>
          <w:sz w:val="20"/>
          <w:szCs w:val="20"/>
        </w:rPr>
        <w:t>ennel prices frequently exceeded last year's levels, particularly during January</w:t>
      </w:r>
      <w:r w:rsidR="001F072D" w:rsidRPr="00ED62DC">
        <w:rPr>
          <w:rFonts w:ascii="Times New Roman" w:hAnsi="Times New Roman" w:cs="Times New Roman"/>
          <w:color w:val="000000" w:themeColor="text1"/>
          <w:sz w:val="20"/>
          <w:szCs w:val="20"/>
        </w:rPr>
        <w:t>-</w:t>
      </w:r>
      <w:r w:rsidR="0009518B" w:rsidRPr="00ED62DC">
        <w:rPr>
          <w:rFonts w:ascii="Times New Roman" w:hAnsi="Times New Roman" w:cs="Times New Roman"/>
          <w:color w:val="000000" w:themeColor="text1"/>
          <w:sz w:val="20"/>
          <w:szCs w:val="20"/>
        </w:rPr>
        <w:t>April 2026 when prices touched ₹225</w:t>
      </w:r>
      <w:r w:rsidR="00C24E35" w:rsidRPr="00ED62DC">
        <w:rPr>
          <w:rFonts w:ascii="Times New Roman" w:hAnsi="Times New Roman" w:cs="Times New Roman"/>
          <w:color w:val="000000" w:themeColor="text1"/>
          <w:sz w:val="20"/>
          <w:szCs w:val="20"/>
        </w:rPr>
        <w:t xml:space="preserve"> to </w:t>
      </w:r>
      <w:r w:rsidR="0009518B" w:rsidRPr="00ED62DC">
        <w:rPr>
          <w:rFonts w:ascii="Times New Roman" w:hAnsi="Times New Roman" w:cs="Times New Roman"/>
          <w:color w:val="000000" w:themeColor="text1"/>
          <w:sz w:val="20"/>
          <w:szCs w:val="20"/>
        </w:rPr>
        <w:t>240/kg against ₹110</w:t>
      </w:r>
      <w:r w:rsidR="00C24E35" w:rsidRPr="00ED62DC">
        <w:rPr>
          <w:rFonts w:ascii="Times New Roman" w:hAnsi="Times New Roman" w:cs="Times New Roman"/>
          <w:color w:val="000000" w:themeColor="text1"/>
          <w:sz w:val="20"/>
          <w:szCs w:val="20"/>
        </w:rPr>
        <w:t xml:space="preserve"> to </w:t>
      </w:r>
      <w:r w:rsidR="0009518B" w:rsidRPr="00ED62DC">
        <w:rPr>
          <w:rFonts w:ascii="Times New Roman" w:hAnsi="Times New Roman" w:cs="Times New Roman"/>
          <w:color w:val="000000" w:themeColor="text1"/>
          <w:sz w:val="20"/>
          <w:szCs w:val="20"/>
        </w:rPr>
        <w:t xml:space="preserve">130/kg in the </w:t>
      </w:r>
      <w:r w:rsidR="0009518B" w:rsidRPr="00ED62DC">
        <w:rPr>
          <w:rFonts w:ascii="Times New Roman" w:hAnsi="Times New Roman" w:cs="Times New Roman"/>
          <w:color w:val="000000" w:themeColor="text1"/>
          <w:sz w:val="20"/>
          <w:szCs w:val="20"/>
        </w:rPr>
        <w:lastRenderedPageBreak/>
        <w:t>previous year</w:t>
      </w:r>
      <w:r w:rsidR="00CE5507" w:rsidRPr="00ED62DC">
        <w:rPr>
          <w:rFonts w:ascii="Times New Roman" w:hAnsi="Times New Roman" w:cs="Times New Roman"/>
          <w:color w:val="000000" w:themeColor="text1"/>
          <w:sz w:val="20"/>
          <w:szCs w:val="20"/>
        </w:rPr>
        <w:t>, may be the result of increasing in export demand</w:t>
      </w:r>
      <w:r w:rsidRPr="00ED62DC">
        <w:rPr>
          <w:rFonts w:ascii="Times New Roman" w:hAnsi="Times New Roman" w:cs="Times New Roman"/>
          <w:color w:val="000000" w:themeColor="text1"/>
          <w:sz w:val="20"/>
          <w:szCs w:val="20"/>
        </w:rPr>
        <w:t xml:space="preserve"> (Figure 3)</w:t>
      </w:r>
      <w:r w:rsidR="0009518B" w:rsidRPr="00ED62DC">
        <w:rPr>
          <w:rFonts w:ascii="Times New Roman" w:hAnsi="Times New Roman" w:cs="Times New Roman"/>
          <w:color w:val="000000" w:themeColor="text1"/>
          <w:sz w:val="20"/>
          <w:szCs w:val="20"/>
        </w:rPr>
        <w:t>.</w:t>
      </w:r>
    </w:p>
    <w:p w14:paraId="411DEB63" w14:textId="77777777" w:rsidR="00C052B7" w:rsidRPr="00ED62DC" w:rsidRDefault="00C052B7" w:rsidP="008F3B51">
      <w:pPr>
        <w:spacing w:after="0" w:line="240" w:lineRule="auto"/>
        <w:jc w:val="both"/>
        <w:rPr>
          <w:rFonts w:ascii="Times New Roman" w:hAnsi="Times New Roman" w:cs="Times New Roman"/>
          <w:color w:val="000000" w:themeColor="text1"/>
          <w:sz w:val="20"/>
          <w:szCs w:val="20"/>
        </w:rPr>
        <w:sectPr w:rsidR="00C052B7" w:rsidRPr="00ED62DC" w:rsidSect="00C052B7">
          <w:type w:val="continuous"/>
          <w:pgSz w:w="11906" w:h="16838"/>
          <w:pgMar w:top="1440" w:right="1440" w:bottom="1440" w:left="1440" w:header="1134" w:footer="708" w:gutter="0"/>
          <w:cols w:num="2" w:space="708"/>
          <w:docGrid w:linePitch="360"/>
        </w:sectPr>
      </w:pPr>
    </w:p>
    <w:p w14:paraId="2C5F1827" w14:textId="77777777" w:rsidR="009B4E9C" w:rsidRPr="00ED62DC" w:rsidRDefault="009B4E9C" w:rsidP="008F3B51">
      <w:pPr>
        <w:spacing w:after="0" w:line="240" w:lineRule="auto"/>
        <w:jc w:val="both"/>
        <w:rPr>
          <w:rFonts w:ascii="Times New Roman" w:hAnsi="Times New Roman" w:cs="Times New Roman"/>
          <w:color w:val="000000" w:themeColor="text1"/>
          <w:sz w:val="20"/>
          <w:szCs w:val="20"/>
        </w:rPr>
      </w:pPr>
    </w:p>
    <w:p w14:paraId="25F41675" w14:textId="3E4B8C36" w:rsidR="009B4E9C" w:rsidRPr="00ED62DC" w:rsidRDefault="009B4E9C" w:rsidP="008F3B51">
      <w:pPr>
        <w:spacing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noProof/>
          <w:color w:val="000000" w:themeColor="text1"/>
          <w:sz w:val="20"/>
          <w:szCs w:val="20"/>
          <w:lang w:eastAsia="en-IN"/>
        </w:rPr>
        <w:lastRenderedPageBreak/>
        <w:drawing>
          <wp:inline distT="0" distB="0" distL="0" distR="0" wp14:anchorId="734ECCC7" wp14:editId="730C17B1">
            <wp:extent cx="5731510" cy="2161540"/>
            <wp:effectExtent l="0" t="0" r="2540" b="10160"/>
            <wp:docPr id="496568791" name="Chart 1">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29E80D2" w14:textId="77777777" w:rsidR="00C052B7" w:rsidRPr="00ED62DC" w:rsidRDefault="00C052B7" w:rsidP="00C052B7">
      <w:pPr>
        <w:spacing w:after="0" w:line="240" w:lineRule="auto"/>
        <w:jc w:val="center"/>
        <w:rPr>
          <w:rFonts w:ascii="Times New Roman" w:hAnsi="Times New Roman" w:cs="Times New Roman"/>
          <w:b/>
          <w:bCs/>
          <w:color w:val="000000" w:themeColor="text1"/>
          <w:sz w:val="20"/>
          <w:szCs w:val="20"/>
        </w:rPr>
      </w:pPr>
    </w:p>
    <w:p w14:paraId="0E37184C" w14:textId="7B449F41" w:rsidR="009B4E9C" w:rsidRPr="00ED62DC" w:rsidRDefault="009B4E9C" w:rsidP="00C052B7">
      <w:pPr>
        <w:spacing w:after="0" w:line="240" w:lineRule="auto"/>
        <w:jc w:val="center"/>
        <w:rPr>
          <w:rFonts w:ascii="Times New Roman" w:hAnsi="Times New Roman" w:cs="Times New Roman"/>
          <w:color w:val="000000" w:themeColor="text1"/>
          <w:sz w:val="20"/>
          <w:szCs w:val="20"/>
        </w:rPr>
      </w:pPr>
      <w:r w:rsidRPr="00ED62DC">
        <w:rPr>
          <w:rFonts w:ascii="Times New Roman" w:hAnsi="Times New Roman" w:cs="Times New Roman"/>
          <w:b/>
          <w:bCs/>
          <w:color w:val="000000" w:themeColor="text1"/>
          <w:sz w:val="20"/>
          <w:szCs w:val="20"/>
        </w:rPr>
        <w:t>Figure 3.</w:t>
      </w:r>
      <w:r w:rsidRPr="00ED62DC">
        <w:rPr>
          <w:rFonts w:ascii="Times New Roman" w:hAnsi="Times New Roman" w:cs="Times New Roman"/>
          <w:color w:val="000000" w:themeColor="text1"/>
          <w:sz w:val="20"/>
          <w:szCs w:val="20"/>
        </w:rPr>
        <w:t xml:space="preserve"> </w:t>
      </w:r>
      <w:r w:rsidR="009049A9" w:rsidRPr="00ED62DC">
        <w:rPr>
          <w:rFonts w:ascii="Times New Roman" w:hAnsi="Times New Roman" w:cs="Times New Roman"/>
          <w:color w:val="000000" w:themeColor="text1"/>
          <w:sz w:val="20"/>
          <w:szCs w:val="20"/>
        </w:rPr>
        <w:t xml:space="preserve">Trends in </w:t>
      </w:r>
      <w:r w:rsidR="00DB2EC7" w:rsidRPr="00ED62DC">
        <w:rPr>
          <w:rFonts w:ascii="Times New Roman" w:hAnsi="Times New Roman" w:cs="Times New Roman"/>
          <w:color w:val="000000" w:themeColor="text1"/>
          <w:sz w:val="20"/>
          <w:szCs w:val="20"/>
        </w:rPr>
        <w:t xml:space="preserve">weekly </w:t>
      </w:r>
      <w:r w:rsidR="009049A9" w:rsidRPr="00ED62DC">
        <w:rPr>
          <w:rFonts w:ascii="Times New Roman" w:hAnsi="Times New Roman" w:cs="Times New Roman"/>
          <w:color w:val="000000" w:themeColor="text1"/>
          <w:sz w:val="20"/>
          <w:szCs w:val="20"/>
        </w:rPr>
        <w:t>fennel price (Rs/kg) in Chennai from May 2024 to May 2026</w:t>
      </w:r>
    </w:p>
    <w:p w14:paraId="171251D6" w14:textId="77777777" w:rsidR="0009518B" w:rsidRPr="00ED62DC" w:rsidRDefault="0009518B" w:rsidP="008F3B51">
      <w:pPr>
        <w:spacing w:after="0" w:line="240" w:lineRule="auto"/>
        <w:jc w:val="both"/>
        <w:rPr>
          <w:rFonts w:ascii="Times New Roman" w:hAnsi="Times New Roman" w:cs="Times New Roman"/>
          <w:color w:val="000000" w:themeColor="text1"/>
          <w:sz w:val="20"/>
          <w:szCs w:val="20"/>
        </w:rPr>
      </w:pPr>
    </w:p>
    <w:p w14:paraId="03412AF5" w14:textId="77777777" w:rsidR="00C052B7" w:rsidRPr="00ED62DC" w:rsidRDefault="00C052B7" w:rsidP="008F3B51">
      <w:pPr>
        <w:spacing w:after="0" w:line="240" w:lineRule="auto"/>
        <w:jc w:val="both"/>
        <w:rPr>
          <w:rFonts w:ascii="Times New Roman" w:hAnsi="Times New Roman" w:cs="Times New Roman"/>
          <w:color w:val="000000" w:themeColor="text1"/>
          <w:sz w:val="20"/>
          <w:szCs w:val="20"/>
        </w:rPr>
        <w:sectPr w:rsidR="00C052B7" w:rsidRPr="00ED62DC" w:rsidSect="00BC29BB">
          <w:type w:val="continuous"/>
          <w:pgSz w:w="11906" w:h="16838"/>
          <w:pgMar w:top="1440" w:right="1440" w:bottom="1440" w:left="1440" w:header="1134" w:footer="708" w:gutter="0"/>
          <w:cols w:space="708"/>
          <w:docGrid w:linePitch="360"/>
        </w:sectPr>
      </w:pPr>
    </w:p>
    <w:p w14:paraId="31218763" w14:textId="08BDFB5B" w:rsidR="0009518B" w:rsidRPr="00ED62DC" w:rsidRDefault="0009518B" w:rsidP="008F3B51">
      <w:pPr>
        <w:spacing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lastRenderedPageBreak/>
        <w:t>Fenugreek prices displayed a generally stronger trend than the previous year. During several months of 2026, prices remained between ₹170</w:t>
      </w:r>
      <w:r w:rsidR="00C24E35" w:rsidRPr="00ED62DC">
        <w:rPr>
          <w:rFonts w:ascii="Times New Roman" w:hAnsi="Times New Roman" w:cs="Times New Roman"/>
          <w:color w:val="000000" w:themeColor="text1"/>
          <w:sz w:val="20"/>
          <w:szCs w:val="20"/>
        </w:rPr>
        <w:t xml:space="preserve"> to </w:t>
      </w:r>
      <w:r w:rsidRPr="00ED62DC">
        <w:rPr>
          <w:rFonts w:ascii="Times New Roman" w:hAnsi="Times New Roman" w:cs="Times New Roman"/>
          <w:color w:val="000000" w:themeColor="text1"/>
          <w:sz w:val="20"/>
          <w:szCs w:val="20"/>
        </w:rPr>
        <w:t xml:space="preserve">240/kg </w:t>
      </w:r>
      <w:r w:rsidRPr="00ED62DC">
        <w:rPr>
          <w:rFonts w:ascii="Times New Roman" w:hAnsi="Times New Roman" w:cs="Times New Roman"/>
          <w:color w:val="000000" w:themeColor="text1"/>
          <w:sz w:val="20"/>
          <w:szCs w:val="20"/>
        </w:rPr>
        <w:lastRenderedPageBreak/>
        <w:t>compared with ₹80</w:t>
      </w:r>
      <w:r w:rsidR="00C24E35" w:rsidRPr="00ED62DC">
        <w:rPr>
          <w:rFonts w:ascii="Times New Roman" w:hAnsi="Times New Roman" w:cs="Times New Roman"/>
          <w:color w:val="000000" w:themeColor="text1"/>
          <w:sz w:val="20"/>
          <w:szCs w:val="20"/>
        </w:rPr>
        <w:t xml:space="preserve"> to </w:t>
      </w:r>
      <w:r w:rsidRPr="00ED62DC">
        <w:rPr>
          <w:rFonts w:ascii="Times New Roman" w:hAnsi="Times New Roman" w:cs="Times New Roman"/>
          <w:color w:val="000000" w:themeColor="text1"/>
          <w:sz w:val="20"/>
          <w:szCs w:val="20"/>
        </w:rPr>
        <w:t>130/kg in the corresponding period of last year</w:t>
      </w:r>
      <w:r w:rsidR="00DB2EC7" w:rsidRPr="00ED62DC">
        <w:rPr>
          <w:rFonts w:ascii="Times New Roman" w:hAnsi="Times New Roman" w:cs="Times New Roman"/>
          <w:color w:val="000000" w:themeColor="text1"/>
          <w:sz w:val="20"/>
          <w:szCs w:val="20"/>
        </w:rPr>
        <w:t xml:space="preserve"> (Figure 4)</w:t>
      </w:r>
      <w:r w:rsidRPr="00ED62DC">
        <w:rPr>
          <w:rFonts w:ascii="Times New Roman" w:hAnsi="Times New Roman" w:cs="Times New Roman"/>
          <w:color w:val="000000" w:themeColor="text1"/>
          <w:sz w:val="20"/>
          <w:szCs w:val="20"/>
        </w:rPr>
        <w:t>.</w:t>
      </w:r>
    </w:p>
    <w:p w14:paraId="7619B445" w14:textId="77777777" w:rsidR="00C052B7" w:rsidRPr="00ED62DC" w:rsidRDefault="00C052B7" w:rsidP="008F3B51">
      <w:pPr>
        <w:spacing w:after="0" w:line="240" w:lineRule="auto"/>
        <w:jc w:val="both"/>
        <w:rPr>
          <w:rFonts w:ascii="Times New Roman" w:hAnsi="Times New Roman" w:cs="Times New Roman"/>
          <w:color w:val="000000" w:themeColor="text1"/>
          <w:sz w:val="20"/>
          <w:szCs w:val="20"/>
        </w:rPr>
        <w:sectPr w:rsidR="00C052B7" w:rsidRPr="00ED62DC" w:rsidSect="00C052B7">
          <w:type w:val="continuous"/>
          <w:pgSz w:w="11906" w:h="16838"/>
          <w:pgMar w:top="1440" w:right="1440" w:bottom="1440" w:left="1440" w:header="1134" w:footer="708" w:gutter="0"/>
          <w:cols w:num="2" w:space="708"/>
          <w:docGrid w:linePitch="360"/>
        </w:sectPr>
      </w:pPr>
    </w:p>
    <w:p w14:paraId="2E39C2FB" w14:textId="77777777" w:rsidR="009B4E9C" w:rsidRPr="00ED62DC" w:rsidRDefault="009B4E9C" w:rsidP="008F3B51">
      <w:pPr>
        <w:spacing w:after="0" w:line="240" w:lineRule="auto"/>
        <w:jc w:val="both"/>
        <w:rPr>
          <w:rFonts w:ascii="Times New Roman" w:hAnsi="Times New Roman" w:cs="Times New Roman"/>
          <w:color w:val="000000" w:themeColor="text1"/>
          <w:sz w:val="20"/>
          <w:szCs w:val="20"/>
        </w:rPr>
      </w:pPr>
    </w:p>
    <w:p w14:paraId="2A53DDD8" w14:textId="77777777" w:rsidR="00C052B7" w:rsidRPr="00ED62DC" w:rsidRDefault="00C052B7" w:rsidP="008F3B51">
      <w:pPr>
        <w:spacing w:after="0" w:line="240" w:lineRule="auto"/>
        <w:jc w:val="both"/>
        <w:rPr>
          <w:rFonts w:ascii="Times New Roman" w:hAnsi="Times New Roman" w:cs="Times New Roman"/>
          <w:color w:val="000000" w:themeColor="text1"/>
          <w:sz w:val="20"/>
          <w:szCs w:val="20"/>
        </w:rPr>
      </w:pPr>
    </w:p>
    <w:p w14:paraId="245BCA7D" w14:textId="14598996" w:rsidR="009B4E9C" w:rsidRPr="00ED62DC" w:rsidRDefault="009B4E9C" w:rsidP="008F3B51">
      <w:pPr>
        <w:spacing w:after="0" w:line="240" w:lineRule="auto"/>
        <w:jc w:val="both"/>
        <w:rPr>
          <w:rFonts w:ascii="Times New Roman" w:hAnsi="Times New Roman" w:cs="Times New Roman"/>
          <w:color w:val="000000" w:themeColor="text1"/>
          <w:sz w:val="20"/>
          <w:szCs w:val="20"/>
        </w:rPr>
      </w:pPr>
      <w:r w:rsidRPr="00ED62DC">
        <w:rPr>
          <w:rFonts w:ascii="Times New Roman" w:hAnsi="Times New Roman" w:cs="Times New Roman"/>
          <w:noProof/>
          <w:color w:val="000000" w:themeColor="text1"/>
          <w:sz w:val="20"/>
          <w:szCs w:val="20"/>
          <w:lang w:eastAsia="en-IN"/>
        </w:rPr>
        <w:drawing>
          <wp:inline distT="0" distB="0" distL="0" distR="0" wp14:anchorId="4A00003B" wp14:editId="15F25946">
            <wp:extent cx="5731510" cy="2373630"/>
            <wp:effectExtent l="0" t="0" r="2540" b="7620"/>
            <wp:docPr id="629845764" name="Chart 1">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77A2097" w14:textId="77777777" w:rsidR="00C052B7" w:rsidRPr="00ED62DC" w:rsidRDefault="00C052B7" w:rsidP="008F3B51">
      <w:pPr>
        <w:spacing w:after="0" w:line="240" w:lineRule="auto"/>
        <w:jc w:val="both"/>
        <w:rPr>
          <w:rFonts w:ascii="Times New Roman" w:hAnsi="Times New Roman" w:cs="Times New Roman"/>
          <w:b/>
          <w:bCs/>
          <w:color w:val="000000" w:themeColor="text1"/>
          <w:sz w:val="20"/>
          <w:szCs w:val="20"/>
        </w:rPr>
      </w:pPr>
    </w:p>
    <w:p w14:paraId="59602DBF" w14:textId="60D14613" w:rsidR="009049A9" w:rsidRPr="00ED62DC" w:rsidRDefault="009B4E9C" w:rsidP="00C052B7">
      <w:pPr>
        <w:spacing w:after="0" w:line="240" w:lineRule="auto"/>
        <w:jc w:val="center"/>
        <w:rPr>
          <w:rFonts w:ascii="Times New Roman" w:hAnsi="Times New Roman" w:cs="Times New Roman"/>
          <w:color w:val="000000" w:themeColor="text1"/>
          <w:sz w:val="20"/>
          <w:szCs w:val="20"/>
        </w:rPr>
      </w:pPr>
      <w:r w:rsidRPr="00ED62DC">
        <w:rPr>
          <w:rFonts w:ascii="Times New Roman" w:hAnsi="Times New Roman" w:cs="Times New Roman"/>
          <w:b/>
          <w:bCs/>
          <w:color w:val="000000" w:themeColor="text1"/>
          <w:sz w:val="20"/>
          <w:szCs w:val="20"/>
        </w:rPr>
        <w:t xml:space="preserve">Figure </w:t>
      </w:r>
      <w:r w:rsidR="00DB2EC7" w:rsidRPr="00ED62DC">
        <w:rPr>
          <w:rFonts w:ascii="Times New Roman" w:hAnsi="Times New Roman" w:cs="Times New Roman"/>
          <w:b/>
          <w:bCs/>
          <w:color w:val="000000" w:themeColor="text1"/>
          <w:sz w:val="20"/>
          <w:szCs w:val="20"/>
        </w:rPr>
        <w:t>4</w:t>
      </w:r>
      <w:r w:rsidRPr="00ED62DC">
        <w:rPr>
          <w:rFonts w:ascii="Times New Roman" w:hAnsi="Times New Roman" w:cs="Times New Roman"/>
          <w:b/>
          <w:bCs/>
          <w:color w:val="000000" w:themeColor="text1"/>
          <w:sz w:val="20"/>
          <w:szCs w:val="20"/>
        </w:rPr>
        <w:t xml:space="preserve">. </w:t>
      </w:r>
      <w:r w:rsidR="009049A9" w:rsidRPr="00ED62DC">
        <w:rPr>
          <w:rFonts w:ascii="Times New Roman" w:hAnsi="Times New Roman" w:cs="Times New Roman"/>
          <w:color w:val="000000" w:themeColor="text1"/>
          <w:sz w:val="20"/>
          <w:szCs w:val="20"/>
        </w:rPr>
        <w:t>Trends in fenugreek</w:t>
      </w:r>
      <w:r w:rsidR="00DB2EC7" w:rsidRPr="00ED62DC">
        <w:rPr>
          <w:rFonts w:ascii="Times New Roman" w:hAnsi="Times New Roman" w:cs="Times New Roman"/>
          <w:color w:val="000000" w:themeColor="text1"/>
          <w:sz w:val="20"/>
          <w:szCs w:val="20"/>
        </w:rPr>
        <w:t xml:space="preserve"> weekly</w:t>
      </w:r>
      <w:r w:rsidR="009049A9" w:rsidRPr="00ED62DC">
        <w:rPr>
          <w:rFonts w:ascii="Times New Roman" w:hAnsi="Times New Roman" w:cs="Times New Roman"/>
          <w:color w:val="000000" w:themeColor="text1"/>
          <w:sz w:val="20"/>
          <w:szCs w:val="20"/>
        </w:rPr>
        <w:t xml:space="preserve"> price (Rs/kg) in Chennai from May 2024 to May 2026</w:t>
      </w:r>
    </w:p>
    <w:p w14:paraId="377BE088" w14:textId="77777777" w:rsidR="00C052B7" w:rsidRPr="00ED62DC" w:rsidRDefault="00C052B7" w:rsidP="008F3B51">
      <w:pPr>
        <w:spacing w:after="0" w:line="240" w:lineRule="auto"/>
        <w:jc w:val="both"/>
        <w:rPr>
          <w:rFonts w:ascii="Times New Roman" w:hAnsi="Times New Roman" w:cs="Times New Roman"/>
          <w:b/>
          <w:bCs/>
          <w:color w:val="000000" w:themeColor="text1"/>
          <w:sz w:val="20"/>
          <w:szCs w:val="20"/>
        </w:rPr>
      </w:pPr>
    </w:p>
    <w:p w14:paraId="2C7B640B" w14:textId="59C7E1E2" w:rsidR="009B4E9C" w:rsidRPr="00ED62DC" w:rsidRDefault="009B4E9C" w:rsidP="008F3B51">
      <w:pPr>
        <w:spacing w:after="0" w:line="240" w:lineRule="auto"/>
        <w:jc w:val="both"/>
        <w:rPr>
          <w:rFonts w:ascii="Times New Roman" w:hAnsi="Times New Roman" w:cs="Times New Roman"/>
          <w:color w:val="000000" w:themeColor="text1"/>
          <w:sz w:val="20"/>
          <w:szCs w:val="20"/>
        </w:rPr>
      </w:pPr>
    </w:p>
    <w:p w14:paraId="5325AEE8" w14:textId="77777777" w:rsidR="00C052B7" w:rsidRPr="00ED62DC" w:rsidRDefault="00C052B7" w:rsidP="008F3B51">
      <w:pPr>
        <w:spacing w:line="240" w:lineRule="auto"/>
        <w:jc w:val="both"/>
        <w:rPr>
          <w:rFonts w:ascii="Times New Roman" w:hAnsi="Times New Roman" w:cs="Times New Roman"/>
          <w:color w:val="000000" w:themeColor="text1"/>
          <w:sz w:val="20"/>
          <w:szCs w:val="20"/>
        </w:rPr>
        <w:sectPr w:rsidR="00C052B7" w:rsidRPr="00ED62DC" w:rsidSect="00BC29BB">
          <w:type w:val="continuous"/>
          <w:pgSz w:w="11906" w:h="16838"/>
          <w:pgMar w:top="1440" w:right="1440" w:bottom="1440" w:left="1440" w:header="1134" w:footer="708" w:gutter="0"/>
          <w:cols w:space="708"/>
          <w:docGrid w:linePitch="360"/>
        </w:sectPr>
      </w:pPr>
    </w:p>
    <w:p w14:paraId="40B9F8B1" w14:textId="507B5495" w:rsidR="009B4E9C" w:rsidRPr="00ED62DC" w:rsidRDefault="00204CF2" w:rsidP="004B6BE3">
      <w:pPr>
        <w:spacing w:line="360" w:lineRule="auto"/>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lastRenderedPageBreak/>
        <w:t>During January to May 2026</w:t>
      </w:r>
      <w:r w:rsidR="0009518B" w:rsidRPr="00ED62DC">
        <w:rPr>
          <w:rFonts w:ascii="Times New Roman" w:hAnsi="Times New Roman" w:cs="Times New Roman"/>
          <w:color w:val="000000" w:themeColor="text1"/>
          <w:sz w:val="20"/>
          <w:szCs w:val="20"/>
        </w:rPr>
        <w:t xml:space="preserve">, the greatest adverse effect on cumin </w:t>
      </w:r>
      <w:r w:rsidR="00DB2EC7" w:rsidRPr="00ED62DC">
        <w:rPr>
          <w:rFonts w:ascii="Times New Roman" w:hAnsi="Times New Roman" w:cs="Times New Roman"/>
          <w:color w:val="000000" w:themeColor="text1"/>
          <w:sz w:val="20"/>
          <w:szCs w:val="20"/>
        </w:rPr>
        <w:t xml:space="preserve">prices was seen </w:t>
      </w:r>
      <w:r w:rsidR="0009518B" w:rsidRPr="00ED62DC">
        <w:rPr>
          <w:rFonts w:ascii="Times New Roman" w:hAnsi="Times New Roman" w:cs="Times New Roman"/>
          <w:color w:val="000000" w:themeColor="text1"/>
          <w:sz w:val="20"/>
          <w:szCs w:val="20"/>
        </w:rPr>
        <w:t>because of its strong export orientation and dependence on international markets</w:t>
      </w:r>
      <w:r w:rsidR="00DB2EC7" w:rsidRPr="00ED62DC">
        <w:rPr>
          <w:rFonts w:ascii="Times New Roman" w:hAnsi="Times New Roman" w:cs="Times New Roman"/>
          <w:color w:val="000000" w:themeColor="text1"/>
          <w:sz w:val="20"/>
          <w:szCs w:val="20"/>
        </w:rPr>
        <w:t xml:space="preserve"> (Figure 5)</w:t>
      </w:r>
      <w:r w:rsidR="0009518B" w:rsidRPr="00ED62DC">
        <w:rPr>
          <w:rFonts w:ascii="Times New Roman" w:hAnsi="Times New Roman" w:cs="Times New Roman"/>
          <w:color w:val="000000" w:themeColor="text1"/>
          <w:sz w:val="20"/>
          <w:szCs w:val="20"/>
        </w:rPr>
        <w:t xml:space="preserve">. Coriander remained comparatively insulated, while fennel and fenugreek experienced price strengthening despite logistical </w:t>
      </w:r>
      <w:r w:rsidR="0009518B" w:rsidRPr="00ED62DC">
        <w:rPr>
          <w:rFonts w:ascii="Times New Roman" w:hAnsi="Times New Roman" w:cs="Times New Roman"/>
          <w:color w:val="000000" w:themeColor="text1"/>
          <w:sz w:val="20"/>
          <w:szCs w:val="20"/>
        </w:rPr>
        <w:lastRenderedPageBreak/>
        <w:t>disruptions. The conflict primarily affected seed spices through increased freight and insurance costs, delayed shipments, and uncertainty in Gulf trade routes rather than through direct reductions in domestic production.</w:t>
      </w:r>
    </w:p>
    <w:p w14:paraId="67B3E427" w14:textId="77777777" w:rsidR="00C052B7" w:rsidRPr="00ED62DC" w:rsidRDefault="00C052B7" w:rsidP="008F3B51">
      <w:pPr>
        <w:jc w:val="both"/>
        <w:rPr>
          <w:rFonts w:ascii="Times New Roman" w:hAnsi="Times New Roman" w:cs="Times New Roman"/>
          <w:color w:val="000000" w:themeColor="text1"/>
          <w:sz w:val="20"/>
          <w:szCs w:val="20"/>
        </w:rPr>
        <w:sectPr w:rsidR="00C052B7" w:rsidRPr="00ED62DC" w:rsidSect="00C052B7">
          <w:type w:val="continuous"/>
          <w:pgSz w:w="11906" w:h="16838"/>
          <w:pgMar w:top="1440" w:right="1440" w:bottom="1440" w:left="1440" w:header="1134" w:footer="708" w:gutter="0"/>
          <w:cols w:num="2" w:space="566"/>
          <w:docGrid w:linePitch="360"/>
        </w:sectPr>
      </w:pPr>
    </w:p>
    <w:p w14:paraId="490067A8" w14:textId="77777777" w:rsidR="0084186D" w:rsidRPr="00ED62DC" w:rsidRDefault="0084186D" w:rsidP="008F3B51">
      <w:pPr>
        <w:jc w:val="both"/>
        <w:rPr>
          <w:rFonts w:ascii="Times New Roman" w:hAnsi="Times New Roman" w:cs="Times New Roman"/>
          <w:color w:val="000000" w:themeColor="text1"/>
          <w:sz w:val="20"/>
          <w:szCs w:val="20"/>
        </w:rPr>
      </w:pPr>
      <w:r w:rsidRPr="00ED62DC">
        <w:rPr>
          <w:rFonts w:ascii="Times New Roman" w:hAnsi="Times New Roman" w:cs="Times New Roman"/>
          <w:noProof/>
          <w:color w:val="000000" w:themeColor="text1"/>
          <w:sz w:val="12"/>
          <w:szCs w:val="12"/>
          <w:lang w:eastAsia="en-IN"/>
        </w:rPr>
        <w:lastRenderedPageBreak/>
        <w:drawing>
          <wp:inline distT="0" distB="0" distL="0" distR="0" wp14:anchorId="1202258D" wp14:editId="0DE2631B">
            <wp:extent cx="5731510" cy="3082636"/>
            <wp:effectExtent l="0" t="0" r="2540" b="3810"/>
            <wp:docPr id="1309684617" name="Chart 1">
              <a:extLst xmlns:a="http://schemas.openxmlformats.org/drawingml/2006/main">
                <a:ext uri="{FF2B5EF4-FFF2-40B4-BE49-F238E27FC236}">
                  <a16:creationId xmlns:a16="http://schemas.microsoft.com/office/drawing/2014/main" id="{AA0B8350-A931-4824-865B-56367059F4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F9569A2" w14:textId="43D83067" w:rsidR="0084186D" w:rsidRPr="00ED62DC" w:rsidRDefault="00DB2EC7" w:rsidP="00C052B7">
      <w:pPr>
        <w:jc w:val="center"/>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Figure 5</w:t>
      </w:r>
      <w:r w:rsidR="0084186D" w:rsidRPr="00ED62DC">
        <w:rPr>
          <w:rFonts w:ascii="Times New Roman" w:hAnsi="Times New Roman" w:cs="Times New Roman"/>
          <w:b/>
          <w:bCs/>
          <w:color w:val="000000" w:themeColor="text1"/>
          <w:sz w:val="20"/>
          <w:szCs w:val="20"/>
        </w:rPr>
        <w:t xml:space="preserve">: </w:t>
      </w:r>
      <w:r w:rsidR="0084186D" w:rsidRPr="00ED62DC">
        <w:rPr>
          <w:rFonts w:ascii="Times New Roman" w:hAnsi="Times New Roman" w:cs="Times New Roman"/>
          <w:color w:val="000000" w:themeColor="text1"/>
          <w:sz w:val="20"/>
          <w:szCs w:val="20"/>
        </w:rPr>
        <w:t>Prices of major seed spices during January to May 2026</w:t>
      </w:r>
    </w:p>
    <w:p w14:paraId="72ED57D1" w14:textId="77777777" w:rsidR="00FF700F" w:rsidRPr="00ED62DC" w:rsidRDefault="00FF700F" w:rsidP="008F3B51">
      <w:pPr>
        <w:jc w:val="both"/>
        <w:rPr>
          <w:rFonts w:ascii="Times New Roman" w:hAnsi="Times New Roman" w:cs="Times New Roman"/>
          <w:b/>
          <w:bCs/>
          <w:color w:val="000000" w:themeColor="text1"/>
          <w:sz w:val="20"/>
          <w:szCs w:val="20"/>
        </w:rPr>
        <w:sectPr w:rsidR="00FF700F" w:rsidRPr="00ED62DC" w:rsidSect="00BC29BB">
          <w:type w:val="continuous"/>
          <w:pgSz w:w="11906" w:h="16838"/>
          <w:pgMar w:top="1440" w:right="1440" w:bottom="1440" w:left="1440" w:header="1134" w:footer="708" w:gutter="0"/>
          <w:cols w:space="708"/>
          <w:docGrid w:linePitch="360"/>
        </w:sectPr>
      </w:pPr>
    </w:p>
    <w:p w14:paraId="0859921E" w14:textId="77777777" w:rsidR="00180B6A" w:rsidRPr="00ED62DC" w:rsidRDefault="00C24E35" w:rsidP="008F3B51">
      <w:pPr>
        <w:jc w:val="both"/>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lastRenderedPageBreak/>
        <w:t>Conclusion</w:t>
      </w:r>
    </w:p>
    <w:p w14:paraId="5D0E67B9" w14:textId="59AE21F5" w:rsidR="00180B6A" w:rsidRPr="00ED62DC" w:rsidRDefault="00180B6A" w:rsidP="008F3B51">
      <w:pPr>
        <w:jc w:val="both"/>
        <w:rPr>
          <w:rFonts w:ascii="Times New Roman" w:hAnsi="Times New Roman" w:cs="Times New Roman"/>
          <w:b/>
          <w:bCs/>
          <w:color w:val="000000" w:themeColor="text1"/>
          <w:sz w:val="20"/>
          <w:szCs w:val="20"/>
        </w:rPr>
      </w:pPr>
      <w:r w:rsidRPr="00ED62DC">
        <w:rPr>
          <w:rFonts w:ascii="Times New Roman" w:hAnsi="Times New Roman" w:cs="Times New Roman"/>
          <w:color w:val="000000" w:themeColor="text1"/>
          <w:sz w:val="20"/>
          <w:szCs w:val="20"/>
        </w:rPr>
        <w:t>The study indicates that changes in India's seed spice exports during 2025-26 were crop and market specific rather than uniform across commodities and destinations. Fennel and cumin recorded the largest declines in export quantity and value, whereas coriander remained broadly stable and fenugreek recorded an increase in export quantity. The relatively larger decline in GCC-linked exports, particularly for fennel and cumin, indicates the exposure of seed spice trade to disruptions affecting the Gulf maritime corridor and the Strait of Hormuz. At the same time, increased exports to several non-GCC destinations suggest that market diversification and trade reorientation may have partly supported trade adjustment during the period of disruption.</w:t>
      </w:r>
    </w:p>
    <w:p w14:paraId="0CAE0D2F" w14:textId="77777777" w:rsidR="00180B6A" w:rsidRPr="00ED62DC" w:rsidRDefault="00180B6A" w:rsidP="008F3B51">
      <w:pPr>
        <w:spacing w:before="240"/>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Domestic price movements also differed across commodities. Cumin prices remained generally lower than the corresponding previous-year levels during several months, whereas coriander, fennel and fenugreek showed different price movements across the study period. These contrasting responses indicate that the transmission of geopolitical and trade-related disruptions to domestic markets was not uniform across seed spices.</w:t>
      </w:r>
    </w:p>
    <w:p w14:paraId="0C3C89E9" w14:textId="10D9F8D8" w:rsidR="00180B6A" w:rsidRPr="00ED62DC" w:rsidRDefault="00180B6A" w:rsidP="008F3B51">
      <w:pPr>
        <w:spacing w:before="240"/>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 xml:space="preserve">However, the observed changes should not be interpreted as the isolated causal effect of the Iran conflict. Export and price performance during 2025-26 may also have been influenced by freight and </w:t>
      </w:r>
      <w:r w:rsidRPr="00ED62DC">
        <w:rPr>
          <w:rFonts w:ascii="Times New Roman" w:hAnsi="Times New Roman" w:cs="Times New Roman"/>
          <w:color w:val="000000" w:themeColor="text1"/>
          <w:sz w:val="20"/>
          <w:szCs w:val="20"/>
        </w:rPr>
        <w:lastRenderedPageBreak/>
        <w:t>logistics conditions, destination-specific demand, international price movements and broader changes in trade patterns. The findings therefore provide evidence of the vulnerability and adjustment of India's seed spice trade during a period of heightened geopolitical uncertainty, while highlighting the importance of export-market diversification, alternative logistics arrangements and improved trade-risk management.</w:t>
      </w:r>
    </w:p>
    <w:p w14:paraId="134FD3E4" w14:textId="01354038" w:rsidR="00D61DB2" w:rsidRPr="00ED62DC" w:rsidRDefault="00D61DB2" w:rsidP="00FF700F">
      <w:pPr>
        <w:jc w:val="both"/>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References:</w:t>
      </w:r>
    </w:p>
    <w:p w14:paraId="0BFE5E11" w14:textId="77777777" w:rsidR="00D60451" w:rsidRPr="00ED62DC" w:rsidRDefault="00D60451" w:rsidP="008F3B51">
      <w:pPr>
        <w:jc w:val="both"/>
        <w:rPr>
          <w:rFonts w:ascii="Times New Roman" w:hAnsi="Times New Roman" w:cs="Times New Roman"/>
          <w:color w:val="000000" w:themeColor="text1"/>
          <w:sz w:val="20"/>
          <w:szCs w:val="20"/>
        </w:rPr>
      </w:pPr>
      <w:proofErr w:type="spellStart"/>
      <w:r w:rsidRPr="00ED62DC">
        <w:rPr>
          <w:rFonts w:ascii="Times New Roman" w:hAnsi="Times New Roman" w:cs="Times New Roman"/>
          <w:color w:val="000000" w:themeColor="text1"/>
          <w:sz w:val="20"/>
          <w:szCs w:val="20"/>
        </w:rPr>
        <w:t>Borbaruah</w:t>
      </w:r>
      <w:proofErr w:type="spellEnd"/>
      <w:r w:rsidRPr="00ED62DC">
        <w:rPr>
          <w:rFonts w:ascii="Times New Roman" w:hAnsi="Times New Roman" w:cs="Times New Roman"/>
          <w:color w:val="000000" w:themeColor="text1"/>
          <w:sz w:val="20"/>
          <w:szCs w:val="20"/>
        </w:rPr>
        <w:t xml:space="preserve">, N., Tyagi, L. and </w:t>
      </w:r>
      <w:proofErr w:type="spellStart"/>
      <w:r w:rsidRPr="00ED62DC">
        <w:rPr>
          <w:rFonts w:ascii="Times New Roman" w:hAnsi="Times New Roman" w:cs="Times New Roman"/>
          <w:color w:val="000000" w:themeColor="text1"/>
          <w:sz w:val="20"/>
          <w:szCs w:val="20"/>
        </w:rPr>
        <w:t>Sirohi</w:t>
      </w:r>
      <w:proofErr w:type="spellEnd"/>
      <w:r w:rsidRPr="00ED62DC">
        <w:rPr>
          <w:rFonts w:ascii="Times New Roman" w:hAnsi="Times New Roman" w:cs="Times New Roman"/>
          <w:color w:val="000000" w:themeColor="text1"/>
          <w:sz w:val="20"/>
          <w:szCs w:val="20"/>
        </w:rPr>
        <w:t xml:space="preserve">, S. (2026). Food trade is not geopolitically neutral, but it is socially non-substitutable. </w:t>
      </w:r>
      <w:r w:rsidRPr="00ED62DC">
        <w:rPr>
          <w:rFonts w:ascii="Times New Roman" w:hAnsi="Times New Roman" w:cs="Times New Roman"/>
          <w:i/>
          <w:iCs/>
          <w:color w:val="000000" w:themeColor="text1"/>
          <w:sz w:val="20"/>
          <w:szCs w:val="20"/>
        </w:rPr>
        <w:t>Down To Earth</w:t>
      </w:r>
      <w:r w:rsidRPr="00ED62DC">
        <w:rPr>
          <w:rFonts w:ascii="Times New Roman" w:hAnsi="Times New Roman" w:cs="Times New Roman"/>
          <w:color w:val="000000" w:themeColor="text1"/>
          <w:sz w:val="20"/>
          <w:szCs w:val="20"/>
        </w:rPr>
        <w:t>, 27 January 2026. Available at</w:t>
      </w:r>
      <w:proofErr w:type="gramStart"/>
      <w:r w:rsidRPr="00ED62DC">
        <w:rPr>
          <w:rFonts w:ascii="Times New Roman" w:hAnsi="Times New Roman" w:cs="Times New Roman"/>
          <w:color w:val="000000" w:themeColor="text1"/>
          <w:sz w:val="20"/>
          <w:szCs w:val="20"/>
        </w:rPr>
        <w:t>: .</w:t>
      </w:r>
      <w:proofErr w:type="gramEnd"/>
      <w:r w:rsidRPr="00ED62DC">
        <w:rPr>
          <w:rFonts w:ascii="Times New Roman" w:hAnsi="Times New Roman" w:cs="Times New Roman"/>
          <w:color w:val="000000" w:themeColor="text1"/>
          <w:sz w:val="20"/>
          <w:szCs w:val="20"/>
        </w:rPr>
        <w:t xml:space="preserve"> Accessed on 5 August 2026.</w:t>
      </w:r>
    </w:p>
    <w:p w14:paraId="386B7337" w14:textId="77777777" w:rsidR="00D60451" w:rsidRPr="00ED62DC" w:rsidRDefault="00D60451" w:rsidP="008F3B51">
      <w:pPr>
        <w:jc w:val="both"/>
        <w:rPr>
          <w:rFonts w:ascii="Times New Roman" w:hAnsi="Times New Roman" w:cs="Times New Roman"/>
          <w:color w:val="000000" w:themeColor="text1"/>
          <w:sz w:val="20"/>
          <w:szCs w:val="20"/>
        </w:rPr>
      </w:pPr>
      <w:proofErr w:type="spellStart"/>
      <w:r w:rsidRPr="00ED62DC">
        <w:rPr>
          <w:rFonts w:ascii="Times New Roman" w:hAnsi="Times New Roman" w:cs="Times New Roman"/>
          <w:color w:val="000000" w:themeColor="text1"/>
          <w:sz w:val="20"/>
          <w:szCs w:val="20"/>
        </w:rPr>
        <w:t>Dambuza</w:t>
      </w:r>
      <w:proofErr w:type="spellEnd"/>
      <w:r w:rsidRPr="00ED62DC">
        <w:rPr>
          <w:rFonts w:ascii="Times New Roman" w:hAnsi="Times New Roman" w:cs="Times New Roman"/>
          <w:color w:val="000000" w:themeColor="text1"/>
          <w:sz w:val="20"/>
          <w:szCs w:val="20"/>
        </w:rPr>
        <w:t xml:space="preserve">, T., Wani, M. and </w:t>
      </w:r>
      <w:proofErr w:type="spellStart"/>
      <w:r w:rsidRPr="00ED62DC">
        <w:rPr>
          <w:rFonts w:ascii="Times New Roman" w:hAnsi="Times New Roman" w:cs="Times New Roman"/>
          <w:color w:val="000000" w:themeColor="text1"/>
          <w:sz w:val="20"/>
          <w:szCs w:val="20"/>
        </w:rPr>
        <w:t>Katanda</w:t>
      </w:r>
      <w:proofErr w:type="spellEnd"/>
      <w:r w:rsidRPr="00ED62DC">
        <w:rPr>
          <w:rFonts w:ascii="Times New Roman" w:hAnsi="Times New Roman" w:cs="Times New Roman"/>
          <w:color w:val="000000" w:themeColor="text1"/>
          <w:sz w:val="20"/>
          <w:szCs w:val="20"/>
        </w:rPr>
        <w:t xml:space="preserve">, A. (2026). When conflicts choke the world's food supply. </w:t>
      </w:r>
      <w:r w:rsidRPr="00ED62DC">
        <w:rPr>
          <w:rFonts w:ascii="Times New Roman" w:hAnsi="Times New Roman" w:cs="Times New Roman"/>
          <w:i/>
          <w:iCs/>
          <w:color w:val="000000" w:themeColor="text1"/>
          <w:sz w:val="20"/>
          <w:szCs w:val="20"/>
        </w:rPr>
        <w:t>Policy Brief</w:t>
      </w:r>
      <w:r w:rsidRPr="00ED62DC">
        <w:rPr>
          <w:rFonts w:ascii="Times New Roman" w:hAnsi="Times New Roman" w:cs="Times New Roman"/>
          <w:color w:val="000000" w:themeColor="text1"/>
          <w:sz w:val="20"/>
          <w:szCs w:val="20"/>
        </w:rPr>
        <w:t xml:space="preserve">, World Agriculture Forum, March 2026. Available at: </w:t>
      </w:r>
      <w:hyperlink r:id="rId24" w:tgtFrame="_blank" w:history="1">
        <w:r w:rsidRPr="00ED62DC">
          <w:rPr>
            <w:rStyle w:val="Hyperlink"/>
            <w:rFonts w:ascii="Times New Roman" w:hAnsi="Times New Roman" w:cs="Times New Roman"/>
            <w:color w:val="000000" w:themeColor="text1"/>
            <w:sz w:val="20"/>
            <w:szCs w:val="20"/>
            <w:u w:val="none"/>
          </w:rPr>
          <w:t>World Agriculture Forum</w:t>
        </w:r>
      </w:hyperlink>
      <w:r w:rsidRPr="00ED62DC">
        <w:rPr>
          <w:rFonts w:ascii="Times New Roman" w:hAnsi="Times New Roman" w:cs="Times New Roman"/>
          <w:color w:val="000000" w:themeColor="text1"/>
          <w:sz w:val="20"/>
          <w:szCs w:val="20"/>
        </w:rPr>
        <w:t>.</w:t>
      </w:r>
    </w:p>
    <w:p w14:paraId="0D2FD1EF" w14:textId="77777777" w:rsidR="00D60451" w:rsidRPr="00ED62DC" w:rsidRDefault="00D60451"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 xml:space="preserve">De, P., Ganguly, A. and Rao, S. (2026). Disruptions in the Gulf: Implications for India's trade facilitation and logistics. </w:t>
      </w:r>
      <w:r w:rsidRPr="00ED62DC">
        <w:rPr>
          <w:rFonts w:ascii="Times New Roman" w:hAnsi="Times New Roman" w:cs="Times New Roman"/>
          <w:i/>
          <w:iCs/>
          <w:color w:val="000000" w:themeColor="text1"/>
          <w:sz w:val="20"/>
          <w:szCs w:val="20"/>
        </w:rPr>
        <w:t>RIS Policy Brief</w:t>
      </w:r>
      <w:r w:rsidRPr="00ED62DC">
        <w:rPr>
          <w:rFonts w:ascii="Times New Roman" w:hAnsi="Times New Roman" w:cs="Times New Roman"/>
          <w:color w:val="000000" w:themeColor="text1"/>
          <w:sz w:val="20"/>
          <w:szCs w:val="20"/>
        </w:rPr>
        <w:t xml:space="preserve">, No. 147. Available at: </w:t>
      </w:r>
      <w:hyperlink r:id="rId25" w:tgtFrame="_blank" w:history="1">
        <w:r w:rsidRPr="00ED62DC">
          <w:rPr>
            <w:rStyle w:val="Hyperlink"/>
            <w:rFonts w:ascii="Times New Roman" w:hAnsi="Times New Roman" w:cs="Times New Roman"/>
            <w:color w:val="000000" w:themeColor="text1"/>
            <w:sz w:val="20"/>
            <w:szCs w:val="20"/>
            <w:u w:val="none"/>
          </w:rPr>
          <w:t>RIS Policy Brief No. 147</w:t>
        </w:r>
      </w:hyperlink>
      <w:r w:rsidRPr="00ED62DC">
        <w:rPr>
          <w:rFonts w:ascii="Times New Roman" w:hAnsi="Times New Roman" w:cs="Times New Roman"/>
          <w:color w:val="000000" w:themeColor="text1"/>
          <w:sz w:val="20"/>
          <w:szCs w:val="20"/>
        </w:rPr>
        <w:t>.</w:t>
      </w:r>
    </w:p>
    <w:p w14:paraId="7E958634" w14:textId="77777777" w:rsidR="00D60451" w:rsidRPr="00ED62DC" w:rsidRDefault="00D60451"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 xml:space="preserve">Economic Times Agriculture (2026). Indian spice exporters face headwinds as chilli, cumin shipments slump in FY26. </w:t>
      </w:r>
      <w:r w:rsidRPr="00ED62DC">
        <w:rPr>
          <w:rFonts w:ascii="Times New Roman" w:hAnsi="Times New Roman" w:cs="Times New Roman"/>
          <w:i/>
          <w:iCs/>
          <w:color w:val="000000" w:themeColor="text1"/>
          <w:sz w:val="20"/>
          <w:szCs w:val="20"/>
        </w:rPr>
        <w:t>Economic Times Agriculture</w:t>
      </w:r>
      <w:r w:rsidRPr="00ED62DC">
        <w:rPr>
          <w:rFonts w:ascii="Times New Roman" w:hAnsi="Times New Roman" w:cs="Times New Roman"/>
          <w:color w:val="000000" w:themeColor="text1"/>
          <w:sz w:val="20"/>
          <w:szCs w:val="20"/>
        </w:rPr>
        <w:t xml:space="preserve">. Available at: </w:t>
      </w:r>
      <w:hyperlink r:id="rId26" w:tgtFrame="_blank" w:history="1">
        <w:r w:rsidRPr="00ED62DC">
          <w:rPr>
            <w:rStyle w:val="Hyperlink"/>
            <w:rFonts w:ascii="Times New Roman" w:hAnsi="Times New Roman" w:cs="Times New Roman"/>
            <w:color w:val="000000" w:themeColor="text1"/>
            <w:sz w:val="20"/>
            <w:szCs w:val="20"/>
            <w:u w:val="none"/>
          </w:rPr>
          <w:t>Economic Times Agriculture</w:t>
        </w:r>
      </w:hyperlink>
      <w:r w:rsidRPr="00ED62DC">
        <w:rPr>
          <w:rFonts w:ascii="Times New Roman" w:hAnsi="Times New Roman" w:cs="Times New Roman"/>
          <w:color w:val="000000" w:themeColor="text1"/>
          <w:sz w:val="20"/>
          <w:szCs w:val="20"/>
        </w:rPr>
        <w:t>. Accessed on 18 August 2026.</w:t>
      </w:r>
    </w:p>
    <w:p w14:paraId="494A6490" w14:textId="77777777" w:rsidR="00D60451" w:rsidRPr="00ED62DC" w:rsidRDefault="00D60451"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lastRenderedPageBreak/>
        <w:t xml:space="preserve">Hebebrand, C., Glauber, J., Vos, R. and Rice, B. (2026). The Iran war's impacts on global fertilizer markets and food production. </w:t>
      </w:r>
      <w:r w:rsidRPr="00ED62DC">
        <w:rPr>
          <w:rFonts w:ascii="Times New Roman" w:hAnsi="Times New Roman" w:cs="Times New Roman"/>
          <w:i/>
          <w:iCs/>
          <w:color w:val="000000" w:themeColor="text1"/>
          <w:sz w:val="20"/>
          <w:szCs w:val="20"/>
        </w:rPr>
        <w:t>IFPRI Blog: Markets, Trade, and Institutions</w:t>
      </w:r>
      <w:r w:rsidRPr="00ED62DC">
        <w:rPr>
          <w:rFonts w:ascii="Times New Roman" w:hAnsi="Times New Roman" w:cs="Times New Roman"/>
          <w:color w:val="000000" w:themeColor="text1"/>
          <w:sz w:val="20"/>
          <w:szCs w:val="20"/>
        </w:rPr>
        <w:t xml:space="preserve">, 1 April 2026. Available at: </w:t>
      </w:r>
      <w:hyperlink r:id="rId27" w:tgtFrame="_blank" w:history="1">
        <w:r w:rsidRPr="00ED62DC">
          <w:rPr>
            <w:rStyle w:val="Hyperlink"/>
            <w:rFonts w:ascii="Times New Roman" w:hAnsi="Times New Roman" w:cs="Times New Roman"/>
            <w:color w:val="000000" w:themeColor="text1"/>
            <w:sz w:val="20"/>
            <w:szCs w:val="20"/>
            <w:u w:val="none"/>
          </w:rPr>
          <w:t>IFPRI Blog</w:t>
        </w:r>
      </w:hyperlink>
      <w:r w:rsidRPr="00ED62DC">
        <w:rPr>
          <w:rFonts w:ascii="Times New Roman" w:hAnsi="Times New Roman" w:cs="Times New Roman"/>
          <w:color w:val="000000" w:themeColor="text1"/>
          <w:sz w:val="20"/>
          <w:szCs w:val="20"/>
        </w:rPr>
        <w:t>. Accessed on 5 August 2026.</w:t>
      </w:r>
    </w:p>
    <w:p w14:paraId="4600C2E7" w14:textId="77777777" w:rsidR="00D60451" w:rsidRPr="00ED62DC" w:rsidRDefault="00D60451" w:rsidP="008F3B51">
      <w:pPr>
        <w:jc w:val="both"/>
        <w:rPr>
          <w:rFonts w:ascii="Times New Roman" w:hAnsi="Times New Roman" w:cs="Times New Roman"/>
          <w:color w:val="000000" w:themeColor="text1"/>
          <w:sz w:val="20"/>
          <w:szCs w:val="20"/>
        </w:rPr>
      </w:pPr>
      <w:proofErr w:type="spellStart"/>
      <w:r w:rsidRPr="00ED62DC">
        <w:rPr>
          <w:rFonts w:ascii="Times New Roman" w:hAnsi="Times New Roman" w:cs="Times New Roman"/>
          <w:color w:val="000000" w:themeColor="text1"/>
          <w:sz w:val="20"/>
          <w:szCs w:val="20"/>
        </w:rPr>
        <w:t>IGrain</w:t>
      </w:r>
      <w:proofErr w:type="spellEnd"/>
      <w:r w:rsidRPr="00ED62DC">
        <w:rPr>
          <w:rFonts w:ascii="Times New Roman" w:hAnsi="Times New Roman" w:cs="Times New Roman"/>
          <w:color w:val="000000" w:themeColor="text1"/>
          <w:sz w:val="20"/>
          <w:szCs w:val="20"/>
        </w:rPr>
        <w:t xml:space="preserve"> India (2026). Indian cumin exports hit by sharp drop in Chinese demand in FY26. </w:t>
      </w:r>
      <w:proofErr w:type="spellStart"/>
      <w:r w:rsidRPr="00ED62DC">
        <w:rPr>
          <w:rFonts w:ascii="Times New Roman" w:hAnsi="Times New Roman" w:cs="Times New Roman"/>
          <w:i/>
          <w:iCs/>
          <w:color w:val="000000" w:themeColor="text1"/>
          <w:sz w:val="20"/>
          <w:szCs w:val="20"/>
        </w:rPr>
        <w:t>IGrain</w:t>
      </w:r>
      <w:proofErr w:type="spellEnd"/>
      <w:r w:rsidRPr="00ED62DC">
        <w:rPr>
          <w:rFonts w:ascii="Times New Roman" w:hAnsi="Times New Roman" w:cs="Times New Roman"/>
          <w:i/>
          <w:iCs/>
          <w:color w:val="000000" w:themeColor="text1"/>
          <w:sz w:val="20"/>
          <w:szCs w:val="20"/>
        </w:rPr>
        <w:t xml:space="preserve"> India</w:t>
      </w:r>
      <w:r w:rsidRPr="00ED62DC">
        <w:rPr>
          <w:rFonts w:ascii="Times New Roman" w:hAnsi="Times New Roman" w:cs="Times New Roman"/>
          <w:color w:val="000000" w:themeColor="text1"/>
          <w:sz w:val="20"/>
          <w:szCs w:val="20"/>
        </w:rPr>
        <w:t xml:space="preserve">, 20 June 2026. Available at: </w:t>
      </w:r>
      <w:hyperlink r:id="rId28" w:tgtFrame="_blank" w:history="1">
        <w:proofErr w:type="spellStart"/>
        <w:r w:rsidRPr="00ED62DC">
          <w:rPr>
            <w:rStyle w:val="Hyperlink"/>
            <w:rFonts w:ascii="Times New Roman" w:hAnsi="Times New Roman" w:cs="Times New Roman"/>
            <w:color w:val="000000" w:themeColor="text1"/>
            <w:sz w:val="20"/>
            <w:szCs w:val="20"/>
            <w:u w:val="none"/>
          </w:rPr>
          <w:t>IGrain</w:t>
        </w:r>
        <w:proofErr w:type="spellEnd"/>
        <w:r w:rsidRPr="00ED62DC">
          <w:rPr>
            <w:rStyle w:val="Hyperlink"/>
            <w:rFonts w:ascii="Times New Roman" w:hAnsi="Times New Roman" w:cs="Times New Roman"/>
            <w:color w:val="000000" w:themeColor="text1"/>
            <w:sz w:val="20"/>
            <w:szCs w:val="20"/>
            <w:u w:val="none"/>
          </w:rPr>
          <w:t xml:space="preserve"> India</w:t>
        </w:r>
      </w:hyperlink>
      <w:r w:rsidRPr="00ED62DC">
        <w:rPr>
          <w:rFonts w:ascii="Times New Roman" w:hAnsi="Times New Roman" w:cs="Times New Roman"/>
          <w:color w:val="000000" w:themeColor="text1"/>
          <w:sz w:val="20"/>
          <w:szCs w:val="20"/>
        </w:rPr>
        <w:t>. Accessed on 18 August 2026.</w:t>
      </w:r>
    </w:p>
    <w:p w14:paraId="77B41FF1" w14:textId="77777777" w:rsidR="002A5395" w:rsidRPr="00ED62DC" w:rsidRDefault="00D60451"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 xml:space="preserve">Pal, B.D., Kumar, A., </w:t>
      </w:r>
      <w:proofErr w:type="spellStart"/>
      <w:r w:rsidRPr="00ED62DC">
        <w:rPr>
          <w:rFonts w:ascii="Times New Roman" w:hAnsi="Times New Roman" w:cs="Times New Roman"/>
          <w:color w:val="000000" w:themeColor="text1"/>
          <w:sz w:val="20"/>
          <w:szCs w:val="20"/>
        </w:rPr>
        <w:t>Sirohi</w:t>
      </w:r>
      <w:proofErr w:type="spellEnd"/>
      <w:r w:rsidRPr="00ED62DC">
        <w:rPr>
          <w:rFonts w:ascii="Times New Roman" w:hAnsi="Times New Roman" w:cs="Times New Roman"/>
          <w:color w:val="000000" w:themeColor="text1"/>
          <w:sz w:val="20"/>
          <w:szCs w:val="20"/>
        </w:rPr>
        <w:t xml:space="preserve">, S., Sainath, B., Sharma, K. and Praveen, K.V. (2026). Iran war supply chain disruptions: Impacts on India's </w:t>
      </w:r>
    </w:p>
    <w:p w14:paraId="5A8E0CAD" w14:textId="77777777" w:rsidR="002A5395" w:rsidRPr="00ED62DC" w:rsidRDefault="002A5395" w:rsidP="008F3B51">
      <w:pPr>
        <w:jc w:val="both"/>
        <w:rPr>
          <w:rFonts w:ascii="Times New Roman" w:hAnsi="Times New Roman" w:cs="Times New Roman"/>
          <w:color w:val="000000" w:themeColor="text1"/>
          <w:sz w:val="20"/>
          <w:szCs w:val="20"/>
        </w:rPr>
      </w:pPr>
    </w:p>
    <w:p w14:paraId="2657E7DC" w14:textId="77777777" w:rsidR="002A5395" w:rsidRPr="00ED62DC" w:rsidRDefault="002A5395" w:rsidP="008F3B51">
      <w:pPr>
        <w:jc w:val="both"/>
        <w:rPr>
          <w:rFonts w:ascii="Times New Roman" w:hAnsi="Times New Roman" w:cs="Times New Roman"/>
          <w:color w:val="000000" w:themeColor="text1"/>
          <w:sz w:val="20"/>
          <w:szCs w:val="20"/>
        </w:rPr>
      </w:pPr>
    </w:p>
    <w:p w14:paraId="20A97EEC" w14:textId="77777777" w:rsidR="002A5395" w:rsidRPr="00ED62DC" w:rsidRDefault="002A5395" w:rsidP="008F3B51">
      <w:pPr>
        <w:jc w:val="both"/>
        <w:rPr>
          <w:rFonts w:ascii="Times New Roman" w:hAnsi="Times New Roman" w:cs="Times New Roman"/>
          <w:color w:val="000000" w:themeColor="text1"/>
          <w:sz w:val="20"/>
          <w:szCs w:val="20"/>
        </w:rPr>
      </w:pPr>
    </w:p>
    <w:p w14:paraId="66FFE63A" w14:textId="77777777" w:rsidR="002A5395" w:rsidRPr="00ED62DC" w:rsidRDefault="002A5395" w:rsidP="008F3B51">
      <w:pPr>
        <w:jc w:val="both"/>
        <w:rPr>
          <w:rFonts w:ascii="Times New Roman" w:hAnsi="Times New Roman" w:cs="Times New Roman"/>
          <w:color w:val="000000" w:themeColor="text1"/>
          <w:sz w:val="20"/>
          <w:szCs w:val="20"/>
        </w:rPr>
      </w:pPr>
    </w:p>
    <w:p w14:paraId="0DAAEC9E" w14:textId="77777777" w:rsidR="002A5395" w:rsidRPr="00ED62DC" w:rsidRDefault="002A5395" w:rsidP="008F3B51">
      <w:pPr>
        <w:jc w:val="both"/>
        <w:rPr>
          <w:rFonts w:ascii="Times New Roman" w:hAnsi="Times New Roman" w:cs="Times New Roman"/>
          <w:color w:val="000000" w:themeColor="text1"/>
          <w:sz w:val="20"/>
          <w:szCs w:val="20"/>
        </w:rPr>
      </w:pPr>
    </w:p>
    <w:p w14:paraId="5D230567" w14:textId="77777777" w:rsidR="002A5395" w:rsidRPr="00ED62DC" w:rsidRDefault="002A5395" w:rsidP="008F3B51">
      <w:pPr>
        <w:jc w:val="both"/>
        <w:rPr>
          <w:rFonts w:ascii="Times New Roman" w:hAnsi="Times New Roman" w:cs="Times New Roman"/>
          <w:color w:val="000000" w:themeColor="text1"/>
          <w:sz w:val="20"/>
          <w:szCs w:val="20"/>
        </w:rPr>
      </w:pPr>
    </w:p>
    <w:p w14:paraId="5EA5192A" w14:textId="77777777" w:rsidR="002A5395" w:rsidRPr="00ED62DC" w:rsidRDefault="002A5395" w:rsidP="008F3B51">
      <w:pPr>
        <w:jc w:val="both"/>
        <w:rPr>
          <w:rFonts w:ascii="Times New Roman" w:hAnsi="Times New Roman" w:cs="Times New Roman"/>
          <w:color w:val="000000" w:themeColor="text1"/>
          <w:sz w:val="20"/>
          <w:szCs w:val="20"/>
        </w:rPr>
      </w:pPr>
    </w:p>
    <w:p w14:paraId="2259659A" w14:textId="77777777" w:rsidR="002A5395" w:rsidRPr="00ED62DC" w:rsidRDefault="002A5395" w:rsidP="008F3B51">
      <w:pPr>
        <w:jc w:val="both"/>
        <w:rPr>
          <w:rFonts w:ascii="Times New Roman" w:hAnsi="Times New Roman" w:cs="Times New Roman"/>
          <w:color w:val="000000" w:themeColor="text1"/>
          <w:sz w:val="20"/>
          <w:szCs w:val="20"/>
        </w:rPr>
      </w:pPr>
    </w:p>
    <w:p w14:paraId="1B6D01A1" w14:textId="77777777" w:rsidR="002A5395" w:rsidRPr="00ED62DC" w:rsidRDefault="002A5395" w:rsidP="008F3B51">
      <w:pPr>
        <w:jc w:val="both"/>
        <w:rPr>
          <w:rFonts w:ascii="Times New Roman" w:hAnsi="Times New Roman" w:cs="Times New Roman"/>
          <w:color w:val="000000" w:themeColor="text1"/>
          <w:sz w:val="20"/>
          <w:szCs w:val="20"/>
        </w:rPr>
      </w:pPr>
    </w:p>
    <w:p w14:paraId="33F75A35" w14:textId="77777777" w:rsidR="002A5395" w:rsidRPr="00ED62DC" w:rsidRDefault="002A5395" w:rsidP="008F3B51">
      <w:pPr>
        <w:jc w:val="both"/>
        <w:rPr>
          <w:rFonts w:ascii="Times New Roman" w:hAnsi="Times New Roman" w:cs="Times New Roman"/>
          <w:color w:val="000000" w:themeColor="text1"/>
          <w:sz w:val="20"/>
          <w:szCs w:val="20"/>
        </w:rPr>
      </w:pPr>
    </w:p>
    <w:p w14:paraId="1908CC27" w14:textId="77777777" w:rsidR="002A5395" w:rsidRPr="00ED62DC" w:rsidRDefault="002A5395" w:rsidP="008F3B51">
      <w:pPr>
        <w:jc w:val="both"/>
        <w:rPr>
          <w:rFonts w:ascii="Times New Roman" w:hAnsi="Times New Roman" w:cs="Times New Roman"/>
          <w:color w:val="000000" w:themeColor="text1"/>
          <w:sz w:val="20"/>
          <w:szCs w:val="20"/>
        </w:rPr>
      </w:pPr>
    </w:p>
    <w:p w14:paraId="0BDFF86D" w14:textId="77777777" w:rsidR="002A5395" w:rsidRPr="00ED62DC" w:rsidRDefault="002A5395" w:rsidP="008F3B51">
      <w:pPr>
        <w:jc w:val="both"/>
        <w:rPr>
          <w:rFonts w:ascii="Times New Roman" w:hAnsi="Times New Roman" w:cs="Times New Roman"/>
          <w:color w:val="000000" w:themeColor="text1"/>
          <w:sz w:val="20"/>
          <w:szCs w:val="20"/>
        </w:rPr>
      </w:pPr>
    </w:p>
    <w:p w14:paraId="7BB8127B" w14:textId="77777777" w:rsidR="002A5395" w:rsidRPr="00ED62DC" w:rsidRDefault="002A5395" w:rsidP="008F3B51">
      <w:pPr>
        <w:jc w:val="both"/>
        <w:rPr>
          <w:rFonts w:ascii="Times New Roman" w:hAnsi="Times New Roman" w:cs="Times New Roman"/>
          <w:color w:val="000000" w:themeColor="text1"/>
          <w:sz w:val="20"/>
          <w:szCs w:val="20"/>
        </w:rPr>
      </w:pPr>
    </w:p>
    <w:p w14:paraId="18772A66" w14:textId="77777777" w:rsidR="002A5395" w:rsidRPr="00ED62DC" w:rsidRDefault="002A5395" w:rsidP="008F3B51">
      <w:pPr>
        <w:jc w:val="both"/>
        <w:rPr>
          <w:rFonts w:ascii="Times New Roman" w:hAnsi="Times New Roman" w:cs="Times New Roman"/>
          <w:color w:val="000000" w:themeColor="text1"/>
          <w:sz w:val="20"/>
          <w:szCs w:val="20"/>
        </w:rPr>
      </w:pPr>
    </w:p>
    <w:p w14:paraId="25B525FF" w14:textId="77777777" w:rsidR="002A5395" w:rsidRPr="00ED62DC" w:rsidRDefault="002A5395" w:rsidP="008F3B51">
      <w:pPr>
        <w:jc w:val="both"/>
        <w:rPr>
          <w:rFonts w:ascii="Times New Roman" w:hAnsi="Times New Roman" w:cs="Times New Roman"/>
          <w:color w:val="000000" w:themeColor="text1"/>
          <w:sz w:val="20"/>
          <w:szCs w:val="20"/>
        </w:rPr>
      </w:pPr>
    </w:p>
    <w:p w14:paraId="010A745A" w14:textId="77777777" w:rsidR="002A5395" w:rsidRPr="00ED62DC" w:rsidRDefault="002A5395" w:rsidP="008F3B51">
      <w:pPr>
        <w:jc w:val="both"/>
        <w:rPr>
          <w:rFonts w:ascii="Times New Roman" w:hAnsi="Times New Roman" w:cs="Times New Roman"/>
          <w:color w:val="000000" w:themeColor="text1"/>
          <w:sz w:val="20"/>
          <w:szCs w:val="20"/>
        </w:rPr>
      </w:pPr>
    </w:p>
    <w:p w14:paraId="6DB4F4F4" w14:textId="77777777" w:rsidR="002A5395" w:rsidRPr="00ED62DC" w:rsidRDefault="002A5395" w:rsidP="008F3B51">
      <w:pPr>
        <w:jc w:val="both"/>
        <w:rPr>
          <w:rFonts w:ascii="Times New Roman" w:hAnsi="Times New Roman" w:cs="Times New Roman"/>
          <w:color w:val="000000" w:themeColor="text1"/>
          <w:sz w:val="20"/>
          <w:szCs w:val="20"/>
        </w:rPr>
      </w:pPr>
    </w:p>
    <w:p w14:paraId="1D745360" w14:textId="77777777" w:rsidR="002A5395" w:rsidRPr="00ED62DC" w:rsidRDefault="002A5395" w:rsidP="008F3B51">
      <w:pPr>
        <w:jc w:val="both"/>
        <w:rPr>
          <w:rFonts w:ascii="Times New Roman" w:hAnsi="Times New Roman" w:cs="Times New Roman"/>
          <w:color w:val="000000" w:themeColor="text1"/>
          <w:sz w:val="20"/>
          <w:szCs w:val="20"/>
        </w:rPr>
      </w:pPr>
    </w:p>
    <w:p w14:paraId="6BD968F0" w14:textId="77777777" w:rsidR="002A5395" w:rsidRPr="00ED62DC" w:rsidRDefault="002A5395" w:rsidP="008F3B51">
      <w:pPr>
        <w:jc w:val="both"/>
        <w:rPr>
          <w:rFonts w:ascii="Times New Roman" w:hAnsi="Times New Roman" w:cs="Times New Roman"/>
          <w:color w:val="000000" w:themeColor="text1"/>
          <w:sz w:val="20"/>
          <w:szCs w:val="20"/>
        </w:rPr>
      </w:pPr>
    </w:p>
    <w:p w14:paraId="04BA3728" w14:textId="77777777" w:rsidR="002A5395" w:rsidRPr="00ED62DC" w:rsidRDefault="002A5395" w:rsidP="008F3B51">
      <w:pPr>
        <w:jc w:val="both"/>
        <w:rPr>
          <w:rFonts w:ascii="Times New Roman" w:hAnsi="Times New Roman" w:cs="Times New Roman"/>
          <w:color w:val="000000" w:themeColor="text1"/>
          <w:sz w:val="20"/>
          <w:szCs w:val="20"/>
        </w:rPr>
      </w:pPr>
    </w:p>
    <w:p w14:paraId="6F39ACBC" w14:textId="77777777" w:rsidR="002A5395" w:rsidRPr="00ED62DC" w:rsidRDefault="002A5395" w:rsidP="008F3B51">
      <w:pPr>
        <w:jc w:val="both"/>
        <w:rPr>
          <w:rFonts w:ascii="Times New Roman" w:hAnsi="Times New Roman" w:cs="Times New Roman"/>
          <w:color w:val="000000" w:themeColor="text1"/>
          <w:sz w:val="20"/>
          <w:szCs w:val="20"/>
        </w:rPr>
      </w:pPr>
    </w:p>
    <w:p w14:paraId="503D5B21" w14:textId="77777777" w:rsidR="002A5395" w:rsidRPr="00ED62DC" w:rsidRDefault="002A5395" w:rsidP="008F3B51">
      <w:pPr>
        <w:jc w:val="both"/>
        <w:rPr>
          <w:rFonts w:ascii="Times New Roman" w:hAnsi="Times New Roman" w:cs="Times New Roman"/>
          <w:color w:val="000000" w:themeColor="text1"/>
          <w:sz w:val="20"/>
          <w:szCs w:val="20"/>
        </w:rPr>
      </w:pPr>
    </w:p>
    <w:p w14:paraId="45493263" w14:textId="77777777" w:rsidR="002A5395" w:rsidRPr="00ED62DC" w:rsidRDefault="002A5395" w:rsidP="008F3B51">
      <w:pPr>
        <w:jc w:val="both"/>
        <w:rPr>
          <w:rFonts w:ascii="Times New Roman" w:hAnsi="Times New Roman" w:cs="Times New Roman"/>
          <w:color w:val="000000" w:themeColor="text1"/>
          <w:sz w:val="20"/>
          <w:szCs w:val="20"/>
        </w:rPr>
      </w:pPr>
    </w:p>
    <w:p w14:paraId="4ED8A288" w14:textId="77777777" w:rsidR="002A5395" w:rsidRPr="00ED62DC" w:rsidRDefault="002A5395" w:rsidP="008F3B51">
      <w:pPr>
        <w:jc w:val="both"/>
        <w:rPr>
          <w:rFonts w:ascii="Times New Roman" w:hAnsi="Times New Roman" w:cs="Times New Roman"/>
          <w:color w:val="000000" w:themeColor="text1"/>
          <w:sz w:val="20"/>
          <w:szCs w:val="20"/>
        </w:rPr>
      </w:pPr>
    </w:p>
    <w:p w14:paraId="2641E28C" w14:textId="22B0F0EB" w:rsidR="00D60451" w:rsidRPr="00ED62DC" w:rsidRDefault="00D60451"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lastRenderedPageBreak/>
        <w:t xml:space="preserve">economy. </w:t>
      </w:r>
      <w:r w:rsidRPr="00ED62DC">
        <w:rPr>
          <w:rFonts w:ascii="Times New Roman" w:hAnsi="Times New Roman" w:cs="Times New Roman"/>
          <w:i/>
          <w:iCs/>
          <w:color w:val="000000" w:themeColor="text1"/>
          <w:sz w:val="20"/>
          <w:szCs w:val="20"/>
        </w:rPr>
        <w:t>IFPRI Blog: Issue Post – South Asia</w:t>
      </w:r>
      <w:r w:rsidRPr="00ED62DC">
        <w:rPr>
          <w:rFonts w:ascii="Times New Roman" w:hAnsi="Times New Roman" w:cs="Times New Roman"/>
          <w:color w:val="000000" w:themeColor="text1"/>
          <w:sz w:val="20"/>
          <w:szCs w:val="20"/>
        </w:rPr>
        <w:t>, 25 June 2026. Available at: IFPRI Blog. Accessed on 5 August 2026.</w:t>
      </w:r>
    </w:p>
    <w:p w14:paraId="489CEB67" w14:textId="77777777" w:rsidR="00D60451" w:rsidRPr="00ED62DC" w:rsidRDefault="00D60451"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 xml:space="preserve">Parikh, N. (2026). Dull 2025, war double blow to Gujarat's cumin exports; 12.5% fall last year. </w:t>
      </w:r>
      <w:r w:rsidRPr="00ED62DC">
        <w:rPr>
          <w:rFonts w:ascii="Times New Roman" w:hAnsi="Times New Roman" w:cs="Times New Roman"/>
          <w:i/>
          <w:iCs/>
          <w:color w:val="000000" w:themeColor="text1"/>
          <w:sz w:val="20"/>
          <w:szCs w:val="20"/>
        </w:rPr>
        <w:t>The Times of India</w:t>
      </w:r>
      <w:r w:rsidRPr="00ED62DC">
        <w:rPr>
          <w:rFonts w:ascii="Times New Roman" w:hAnsi="Times New Roman" w:cs="Times New Roman"/>
          <w:color w:val="000000" w:themeColor="text1"/>
          <w:sz w:val="20"/>
          <w:szCs w:val="20"/>
        </w:rPr>
        <w:t>, 31 March 2026.</w:t>
      </w:r>
    </w:p>
    <w:p w14:paraId="666E4BFF" w14:textId="00CFB3A4" w:rsidR="00040FEE" w:rsidRPr="00ED62DC" w:rsidRDefault="00D60451" w:rsidP="008F3B51">
      <w:pPr>
        <w:jc w:val="both"/>
        <w:rPr>
          <w:rFonts w:ascii="Times New Roman" w:hAnsi="Times New Roman" w:cs="Times New Roman"/>
          <w:color w:val="000000" w:themeColor="text1"/>
          <w:sz w:val="20"/>
          <w:szCs w:val="20"/>
        </w:rPr>
      </w:pPr>
      <w:r w:rsidRPr="00ED62DC">
        <w:rPr>
          <w:rFonts w:ascii="Times New Roman" w:hAnsi="Times New Roman" w:cs="Times New Roman"/>
          <w:color w:val="000000" w:themeColor="text1"/>
          <w:sz w:val="20"/>
          <w:szCs w:val="20"/>
        </w:rPr>
        <w:t xml:space="preserve">Reuters (2026). India's goods trade deficit hits 6-month high as imports rise amid Middle East conflict. </w:t>
      </w:r>
      <w:r w:rsidRPr="00ED62DC">
        <w:rPr>
          <w:rFonts w:ascii="Times New Roman" w:hAnsi="Times New Roman" w:cs="Times New Roman"/>
          <w:i/>
          <w:iCs/>
          <w:color w:val="000000" w:themeColor="text1"/>
          <w:sz w:val="20"/>
          <w:szCs w:val="20"/>
        </w:rPr>
        <w:t>Reuters</w:t>
      </w:r>
      <w:r w:rsidRPr="00ED62DC">
        <w:rPr>
          <w:rFonts w:ascii="Times New Roman" w:hAnsi="Times New Roman" w:cs="Times New Roman"/>
          <w:color w:val="000000" w:themeColor="text1"/>
          <w:sz w:val="20"/>
          <w:szCs w:val="20"/>
        </w:rPr>
        <w:t xml:space="preserve">, 13 August 2026. Available at: </w:t>
      </w:r>
      <w:hyperlink r:id="rId29" w:tgtFrame="_blank" w:history="1">
        <w:r w:rsidRPr="00ED62DC">
          <w:rPr>
            <w:rStyle w:val="Hyperlink"/>
            <w:rFonts w:ascii="Times New Roman" w:hAnsi="Times New Roman" w:cs="Times New Roman"/>
            <w:color w:val="000000" w:themeColor="text1"/>
            <w:sz w:val="20"/>
            <w:szCs w:val="20"/>
            <w:u w:val="none"/>
          </w:rPr>
          <w:t>Reuters</w:t>
        </w:r>
      </w:hyperlink>
      <w:r w:rsidRPr="00ED62DC">
        <w:rPr>
          <w:rFonts w:ascii="Times New Roman" w:hAnsi="Times New Roman" w:cs="Times New Roman"/>
          <w:color w:val="000000" w:themeColor="text1"/>
          <w:sz w:val="20"/>
          <w:szCs w:val="20"/>
        </w:rPr>
        <w:t>. Accessed on 18 August 2026.</w:t>
      </w:r>
    </w:p>
    <w:sectPr w:rsidR="00040FEE" w:rsidRPr="00ED62DC" w:rsidSect="00ED62DC">
      <w:type w:val="continuous"/>
      <w:pgSz w:w="11906" w:h="16838"/>
      <w:pgMar w:top="1440" w:right="1440" w:bottom="1440" w:left="1440" w:header="1134" w:footer="708" w:gutter="0"/>
      <w:cols w:num="2" w:space="56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9A5242" w14:textId="77777777" w:rsidR="00AE22E6" w:rsidRDefault="00AE22E6" w:rsidP="00BA0965">
      <w:pPr>
        <w:spacing w:after="0" w:line="240" w:lineRule="auto"/>
      </w:pPr>
      <w:r>
        <w:separator/>
      </w:r>
    </w:p>
  </w:endnote>
  <w:endnote w:type="continuationSeparator" w:id="0">
    <w:p w14:paraId="3C3F8DF4" w14:textId="77777777" w:rsidR="00AE22E6" w:rsidRDefault="00AE22E6" w:rsidP="00BA0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864BA" w14:textId="7F55F5B2" w:rsidR="00412B8C" w:rsidRDefault="00412B8C" w:rsidP="00412B8C">
    <w:pPr>
      <w:pStyle w:val="Footer"/>
      <w:rPr>
        <w:caps/>
        <w:noProof/>
        <w:color w:val="156082" w:themeColor="accent1"/>
      </w:rPr>
    </w:pPr>
    <w:r>
      <w:rPr>
        <w:caps/>
        <w:color w:val="156082" w:themeColor="accent1"/>
      </w:rPr>
      <w:tab/>
    </w:r>
    <w:r w:rsidRPr="00412B8C">
      <w:rPr>
        <w:rFonts w:ascii="Times New Roman" w:hAnsi="Times New Roman" w:cs="Times New Roman"/>
        <w:caps/>
        <w:color w:val="000000" w:themeColor="text1"/>
        <w:sz w:val="20"/>
        <w:szCs w:val="20"/>
      </w:rPr>
      <w:fldChar w:fldCharType="begin"/>
    </w:r>
    <w:r w:rsidRPr="00412B8C">
      <w:rPr>
        <w:rFonts w:ascii="Times New Roman" w:hAnsi="Times New Roman" w:cs="Times New Roman"/>
        <w:caps/>
        <w:color w:val="000000" w:themeColor="text1"/>
        <w:sz w:val="20"/>
        <w:szCs w:val="20"/>
      </w:rPr>
      <w:instrText xml:space="preserve"> PAGE   \* MERGEFORMAT </w:instrText>
    </w:r>
    <w:r w:rsidRPr="00412B8C">
      <w:rPr>
        <w:rFonts w:ascii="Times New Roman" w:hAnsi="Times New Roman" w:cs="Times New Roman"/>
        <w:caps/>
        <w:color w:val="000000" w:themeColor="text1"/>
        <w:sz w:val="20"/>
        <w:szCs w:val="20"/>
      </w:rPr>
      <w:fldChar w:fldCharType="separate"/>
    </w:r>
    <w:r w:rsidRPr="00412B8C">
      <w:rPr>
        <w:rFonts w:ascii="Times New Roman" w:hAnsi="Times New Roman" w:cs="Times New Roman"/>
        <w:caps/>
        <w:noProof/>
        <w:color w:val="000000" w:themeColor="text1"/>
        <w:sz w:val="20"/>
        <w:szCs w:val="20"/>
      </w:rPr>
      <w:t>2</w:t>
    </w:r>
    <w:r w:rsidRPr="00412B8C">
      <w:rPr>
        <w:rFonts w:ascii="Times New Roman" w:hAnsi="Times New Roman" w:cs="Times New Roman"/>
        <w:caps/>
        <w:noProof/>
        <w:color w:val="000000" w:themeColor="text1"/>
        <w:sz w:val="20"/>
        <w:szCs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2A6A1" w14:textId="76D5D841" w:rsidR="008E25CC" w:rsidRPr="004577D8" w:rsidRDefault="008E25CC" w:rsidP="008E25CC">
    <w:pPr>
      <w:pStyle w:val="Footer"/>
      <w:tabs>
        <w:tab w:val="clear" w:pos="4513"/>
        <w:tab w:val="clear" w:pos="9026"/>
      </w:tabs>
      <w:rPr>
        <w:rFonts w:ascii="Times New Roman" w:hAnsi="Times New Roman" w:cs="Times New Roman"/>
        <w:caps/>
        <w:color w:val="000000" w:themeColor="text1"/>
        <w:sz w:val="20"/>
      </w:rPr>
    </w:pPr>
    <w:r w:rsidRPr="005F4AD7">
      <w:rPr>
        <w:rFonts w:ascii="Times New Roman" w:hAnsi="Times New Roman" w:cs="Times New Roman"/>
        <w:caps/>
        <w:color w:val="000000" w:themeColor="text1"/>
        <w:sz w:val="18"/>
        <w:szCs w:val="16"/>
      </w:rPr>
      <w:t>2278-8417/©2026 ISSS</w:t>
    </w:r>
    <w:r w:rsidRPr="001638B2">
      <w:rPr>
        <w:rFonts w:ascii="Times New Roman" w:hAnsi="Times New Roman" w:cs="Times New Roman"/>
        <w:caps/>
        <w:color w:val="000000" w:themeColor="text1"/>
        <w:sz w:val="20"/>
      </w:rPr>
      <w:t xml:space="preserve"> </w:t>
    </w:r>
    <w:r>
      <w:rPr>
        <w:rFonts w:ascii="Times New Roman" w:hAnsi="Times New Roman" w:cs="Times New Roman"/>
        <w:caps/>
        <w:color w:val="000000" w:themeColor="text1"/>
        <w:sz w:val="20"/>
      </w:rPr>
      <w:tab/>
    </w:r>
    <w:r>
      <w:rPr>
        <w:rFonts w:ascii="Times New Roman" w:hAnsi="Times New Roman" w:cs="Times New Roman"/>
        <w:caps/>
        <w:color w:val="000000" w:themeColor="text1"/>
        <w:sz w:val="20"/>
      </w:rPr>
      <w:tab/>
    </w:r>
    <w:r>
      <w:rPr>
        <w:rFonts w:ascii="Times New Roman" w:hAnsi="Times New Roman" w:cs="Times New Roman"/>
        <w:caps/>
        <w:color w:val="000000" w:themeColor="text1"/>
        <w:sz w:val="20"/>
      </w:rPr>
      <w:tab/>
    </w:r>
    <w:r>
      <w:rPr>
        <w:rFonts w:ascii="Times New Roman" w:hAnsi="Times New Roman" w:cs="Times New Roman"/>
        <w:caps/>
        <w:color w:val="000000" w:themeColor="text1"/>
        <w:sz w:val="20"/>
      </w:rPr>
      <w:tab/>
      <w:t xml:space="preserve">        </w:t>
    </w:r>
    <w:r w:rsidRPr="001638B2">
      <w:rPr>
        <w:rFonts w:ascii="Times New Roman" w:hAnsi="Times New Roman" w:cs="Times New Roman"/>
        <w:caps/>
        <w:color w:val="000000" w:themeColor="text1"/>
        <w:sz w:val="20"/>
      </w:rPr>
      <w:fldChar w:fldCharType="begin"/>
    </w:r>
    <w:r w:rsidRPr="001638B2">
      <w:rPr>
        <w:rFonts w:ascii="Times New Roman" w:hAnsi="Times New Roman" w:cs="Times New Roman"/>
        <w:caps/>
        <w:color w:val="000000" w:themeColor="text1"/>
        <w:sz w:val="20"/>
      </w:rPr>
      <w:instrText xml:space="preserve"> PAGE </w:instrText>
    </w:r>
    <w:r w:rsidRPr="001638B2">
      <w:rPr>
        <w:rFonts w:ascii="Times New Roman" w:hAnsi="Times New Roman" w:cs="Times New Roman"/>
        <w:caps/>
        <w:color w:val="000000" w:themeColor="text1"/>
        <w:sz w:val="20"/>
      </w:rPr>
      <w:fldChar w:fldCharType="separate"/>
    </w:r>
    <w:r w:rsidR="00991849">
      <w:rPr>
        <w:rFonts w:ascii="Times New Roman" w:hAnsi="Times New Roman" w:cs="Times New Roman"/>
        <w:caps/>
        <w:noProof/>
        <w:color w:val="000000" w:themeColor="text1"/>
        <w:sz w:val="20"/>
      </w:rPr>
      <w:t>67</w:t>
    </w:r>
    <w:r w:rsidRPr="001638B2">
      <w:rPr>
        <w:rFonts w:ascii="Times New Roman" w:hAnsi="Times New Roman" w:cs="Times New Roman"/>
        <w:caps/>
        <w:color w:val="000000" w:themeColor="text1"/>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307A1" w14:textId="5FA9C0E9" w:rsidR="00D8670F" w:rsidRDefault="00D8670F" w:rsidP="00412B8C">
    <w:pPr>
      <w:pStyle w:val="Footer"/>
      <w:rPr>
        <w:caps/>
        <w:noProof/>
        <w:color w:val="156082" w:themeColor="accent1"/>
      </w:rPr>
    </w:pPr>
    <w:r>
      <w:rPr>
        <w:caps/>
        <w:color w:val="156082" w:themeColor="accent1"/>
      </w:rPr>
      <w:tab/>
    </w:r>
    <w:r w:rsidRPr="00412B8C">
      <w:rPr>
        <w:rFonts w:ascii="Times New Roman" w:hAnsi="Times New Roman" w:cs="Times New Roman"/>
        <w:caps/>
        <w:color w:val="000000" w:themeColor="text1"/>
        <w:sz w:val="20"/>
        <w:szCs w:val="20"/>
      </w:rPr>
      <w:fldChar w:fldCharType="begin"/>
    </w:r>
    <w:r w:rsidRPr="00412B8C">
      <w:rPr>
        <w:rFonts w:ascii="Times New Roman" w:hAnsi="Times New Roman" w:cs="Times New Roman"/>
        <w:caps/>
        <w:color w:val="000000" w:themeColor="text1"/>
        <w:sz w:val="20"/>
        <w:szCs w:val="20"/>
      </w:rPr>
      <w:instrText xml:space="preserve"> PAGE   \* MERGEFORMAT </w:instrText>
    </w:r>
    <w:r w:rsidRPr="00412B8C">
      <w:rPr>
        <w:rFonts w:ascii="Times New Roman" w:hAnsi="Times New Roman" w:cs="Times New Roman"/>
        <w:caps/>
        <w:color w:val="000000" w:themeColor="text1"/>
        <w:sz w:val="20"/>
        <w:szCs w:val="20"/>
      </w:rPr>
      <w:fldChar w:fldCharType="separate"/>
    </w:r>
    <w:r w:rsidR="00991849">
      <w:rPr>
        <w:rFonts w:ascii="Times New Roman" w:hAnsi="Times New Roman" w:cs="Times New Roman"/>
        <w:caps/>
        <w:noProof/>
        <w:color w:val="000000" w:themeColor="text1"/>
        <w:sz w:val="20"/>
        <w:szCs w:val="20"/>
      </w:rPr>
      <w:t>77</w:t>
    </w:r>
    <w:r w:rsidRPr="00412B8C">
      <w:rPr>
        <w:rFonts w:ascii="Times New Roman" w:hAnsi="Times New Roman" w:cs="Times New Roman"/>
        <w:caps/>
        <w:noProof/>
        <w:color w:val="000000" w:themeColor="text1"/>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427A28" w14:textId="77777777" w:rsidR="00AE22E6" w:rsidRDefault="00AE22E6" w:rsidP="00BA0965">
      <w:pPr>
        <w:spacing w:after="0" w:line="240" w:lineRule="auto"/>
      </w:pPr>
      <w:r>
        <w:separator/>
      </w:r>
    </w:p>
  </w:footnote>
  <w:footnote w:type="continuationSeparator" w:id="0">
    <w:p w14:paraId="72731C48" w14:textId="77777777" w:rsidR="00AE22E6" w:rsidRDefault="00AE22E6" w:rsidP="00BA09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CB94D" w14:textId="77777777" w:rsidR="008E25CC" w:rsidRPr="00DC2A32" w:rsidRDefault="008E25CC" w:rsidP="00216427">
    <w:pPr>
      <w:pStyle w:val="Header"/>
      <w:tabs>
        <w:tab w:val="clear" w:pos="4513"/>
        <w:tab w:val="clear" w:pos="9026"/>
      </w:tabs>
      <w:jc w:val="center"/>
      <w:rPr>
        <w:sz w:val="18"/>
        <w:szCs w:val="18"/>
      </w:rPr>
    </w:pPr>
    <w:r w:rsidRPr="00DC2A32">
      <w:rPr>
        <w:rFonts w:cs="Times New Roman"/>
        <w:b/>
        <w:bCs/>
        <w:sz w:val="18"/>
        <w:szCs w:val="18"/>
      </w:rPr>
      <w:t>Int J Seed Spice</w:t>
    </w:r>
    <w:r>
      <w:rPr>
        <w:rFonts w:cs="Times New Roman"/>
        <w:b/>
        <w:bCs/>
        <w:sz w:val="18"/>
        <w:szCs w:val="18"/>
      </w:rPr>
      <w:t>.</w:t>
    </w:r>
    <w:r w:rsidRPr="00DC2A32">
      <w:rPr>
        <w:rFonts w:cs="Times New Roman"/>
        <w:b/>
        <w:bCs/>
        <w:sz w:val="18"/>
        <w:szCs w:val="18"/>
      </w:rPr>
      <w:t xml:space="preserve"> 16 (1)</w:t>
    </w:r>
    <w:r>
      <w:rPr>
        <w:rFonts w:cs="Times New Roman"/>
        <w:b/>
        <w:bCs/>
        <w:sz w:val="18"/>
        <w:szCs w:val="18"/>
      </w:rPr>
      <w:t>,</w:t>
    </w:r>
    <w:r w:rsidRPr="00DC2A32">
      <w:rPr>
        <w:rFonts w:cs="Times New Roman"/>
        <w:b/>
        <w:bCs/>
        <w:sz w:val="18"/>
        <w:szCs w:val="18"/>
      </w:rPr>
      <w:t xml:space="preserve"> June 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9E7782"/>
    <w:multiLevelType w:val="multilevel"/>
    <w:tmpl w:val="F088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0A5"/>
    <w:rsid w:val="00005CD2"/>
    <w:rsid w:val="00033F76"/>
    <w:rsid w:val="00040FEE"/>
    <w:rsid w:val="000419DA"/>
    <w:rsid w:val="00051DF1"/>
    <w:rsid w:val="000626AA"/>
    <w:rsid w:val="00073613"/>
    <w:rsid w:val="0009518B"/>
    <w:rsid w:val="000A0C4E"/>
    <w:rsid w:val="000B3DCF"/>
    <w:rsid w:val="000B4E40"/>
    <w:rsid w:val="000B7EFA"/>
    <w:rsid w:val="000C1C05"/>
    <w:rsid w:val="000C4965"/>
    <w:rsid w:val="000C6E0B"/>
    <w:rsid w:val="000D1C12"/>
    <w:rsid w:val="000D3258"/>
    <w:rsid w:val="000D3CD4"/>
    <w:rsid w:val="000D3E44"/>
    <w:rsid w:val="000D50FF"/>
    <w:rsid w:val="000F3D9F"/>
    <w:rsid w:val="0010008D"/>
    <w:rsid w:val="00103FEA"/>
    <w:rsid w:val="00134683"/>
    <w:rsid w:val="00150AE0"/>
    <w:rsid w:val="0015140B"/>
    <w:rsid w:val="001671EB"/>
    <w:rsid w:val="00170872"/>
    <w:rsid w:val="00172B39"/>
    <w:rsid w:val="00173748"/>
    <w:rsid w:val="00177EF8"/>
    <w:rsid w:val="0018089B"/>
    <w:rsid w:val="00180B6A"/>
    <w:rsid w:val="00184C3F"/>
    <w:rsid w:val="00186834"/>
    <w:rsid w:val="00193ABB"/>
    <w:rsid w:val="001B1642"/>
    <w:rsid w:val="001C3B8E"/>
    <w:rsid w:val="001C4EA2"/>
    <w:rsid w:val="001C6689"/>
    <w:rsid w:val="001D36BF"/>
    <w:rsid w:val="001D5699"/>
    <w:rsid w:val="001E7771"/>
    <w:rsid w:val="001F0659"/>
    <w:rsid w:val="001F072D"/>
    <w:rsid w:val="00203108"/>
    <w:rsid w:val="002040A1"/>
    <w:rsid w:val="00204CF2"/>
    <w:rsid w:val="002163C1"/>
    <w:rsid w:val="00216427"/>
    <w:rsid w:val="00223ACC"/>
    <w:rsid w:val="002860E7"/>
    <w:rsid w:val="00286298"/>
    <w:rsid w:val="00297E38"/>
    <w:rsid w:val="002A5395"/>
    <w:rsid w:val="002B3CBB"/>
    <w:rsid w:val="002B7FFD"/>
    <w:rsid w:val="002C00A5"/>
    <w:rsid w:val="002C033F"/>
    <w:rsid w:val="002C0A08"/>
    <w:rsid w:val="002C5914"/>
    <w:rsid w:val="002D3100"/>
    <w:rsid w:val="002E4AF5"/>
    <w:rsid w:val="002E6136"/>
    <w:rsid w:val="002E77BA"/>
    <w:rsid w:val="003166D1"/>
    <w:rsid w:val="00327D33"/>
    <w:rsid w:val="003309BE"/>
    <w:rsid w:val="003333BE"/>
    <w:rsid w:val="00345176"/>
    <w:rsid w:val="00355D49"/>
    <w:rsid w:val="003857B3"/>
    <w:rsid w:val="00385F07"/>
    <w:rsid w:val="00386F22"/>
    <w:rsid w:val="003872F6"/>
    <w:rsid w:val="00391CB0"/>
    <w:rsid w:val="003948B4"/>
    <w:rsid w:val="003C3B24"/>
    <w:rsid w:val="003D24A3"/>
    <w:rsid w:val="003D35BB"/>
    <w:rsid w:val="003E7C41"/>
    <w:rsid w:val="003F7165"/>
    <w:rsid w:val="00403FB6"/>
    <w:rsid w:val="00412B8C"/>
    <w:rsid w:val="004217F3"/>
    <w:rsid w:val="00421FFC"/>
    <w:rsid w:val="0042685A"/>
    <w:rsid w:val="00427B24"/>
    <w:rsid w:val="00430867"/>
    <w:rsid w:val="0044481E"/>
    <w:rsid w:val="00446247"/>
    <w:rsid w:val="004464C9"/>
    <w:rsid w:val="00450C3B"/>
    <w:rsid w:val="00455698"/>
    <w:rsid w:val="00456E2F"/>
    <w:rsid w:val="0046300F"/>
    <w:rsid w:val="00471F9C"/>
    <w:rsid w:val="00483EB9"/>
    <w:rsid w:val="00485813"/>
    <w:rsid w:val="00494B42"/>
    <w:rsid w:val="004A216E"/>
    <w:rsid w:val="004B0A86"/>
    <w:rsid w:val="004B2948"/>
    <w:rsid w:val="004B5F25"/>
    <w:rsid w:val="004B6BE3"/>
    <w:rsid w:val="004C2151"/>
    <w:rsid w:val="004C39C5"/>
    <w:rsid w:val="004C7FC5"/>
    <w:rsid w:val="004D1984"/>
    <w:rsid w:val="004D2C29"/>
    <w:rsid w:val="004D3FEF"/>
    <w:rsid w:val="004E559C"/>
    <w:rsid w:val="004E5F14"/>
    <w:rsid w:val="004F4427"/>
    <w:rsid w:val="00520581"/>
    <w:rsid w:val="00521911"/>
    <w:rsid w:val="00521E4E"/>
    <w:rsid w:val="005243C6"/>
    <w:rsid w:val="00533C6F"/>
    <w:rsid w:val="00553B2E"/>
    <w:rsid w:val="00555648"/>
    <w:rsid w:val="005576D0"/>
    <w:rsid w:val="00575B17"/>
    <w:rsid w:val="00576381"/>
    <w:rsid w:val="005B27E2"/>
    <w:rsid w:val="005B3429"/>
    <w:rsid w:val="005C23AE"/>
    <w:rsid w:val="005C466D"/>
    <w:rsid w:val="005D7A6B"/>
    <w:rsid w:val="005E3F5B"/>
    <w:rsid w:val="005F68CA"/>
    <w:rsid w:val="005F6CE2"/>
    <w:rsid w:val="006024F8"/>
    <w:rsid w:val="00625E8D"/>
    <w:rsid w:val="00642BA0"/>
    <w:rsid w:val="00643124"/>
    <w:rsid w:val="00662F79"/>
    <w:rsid w:val="006B5B32"/>
    <w:rsid w:val="006D6553"/>
    <w:rsid w:val="006F31E3"/>
    <w:rsid w:val="00700DDE"/>
    <w:rsid w:val="007355FE"/>
    <w:rsid w:val="00750B2C"/>
    <w:rsid w:val="00760748"/>
    <w:rsid w:val="00770C80"/>
    <w:rsid w:val="00777207"/>
    <w:rsid w:val="00780D69"/>
    <w:rsid w:val="00781F38"/>
    <w:rsid w:val="0079106E"/>
    <w:rsid w:val="007B1243"/>
    <w:rsid w:val="007B3922"/>
    <w:rsid w:val="007D6308"/>
    <w:rsid w:val="007F2C56"/>
    <w:rsid w:val="00802861"/>
    <w:rsid w:val="008029B0"/>
    <w:rsid w:val="00817EE4"/>
    <w:rsid w:val="00820F9B"/>
    <w:rsid w:val="00821C49"/>
    <w:rsid w:val="00825C76"/>
    <w:rsid w:val="00833140"/>
    <w:rsid w:val="0083493A"/>
    <w:rsid w:val="0084186D"/>
    <w:rsid w:val="00846D8F"/>
    <w:rsid w:val="00856F43"/>
    <w:rsid w:val="00864DBD"/>
    <w:rsid w:val="00866ADA"/>
    <w:rsid w:val="008708C6"/>
    <w:rsid w:val="00870C7A"/>
    <w:rsid w:val="0088096B"/>
    <w:rsid w:val="008810B0"/>
    <w:rsid w:val="00884A3B"/>
    <w:rsid w:val="0089237E"/>
    <w:rsid w:val="008A4F90"/>
    <w:rsid w:val="008C5CBC"/>
    <w:rsid w:val="008C606A"/>
    <w:rsid w:val="008D6C3E"/>
    <w:rsid w:val="008E25CC"/>
    <w:rsid w:val="008E371D"/>
    <w:rsid w:val="008F15AD"/>
    <w:rsid w:val="008F3B51"/>
    <w:rsid w:val="009009DE"/>
    <w:rsid w:val="009049A9"/>
    <w:rsid w:val="00910273"/>
    <w:rsid w:val="00910321"/>
    <w:rsid w:val="009104FB"/>
    <w:rsid w:val="00917078"/>
    <w:rsid w:val="009277FE"/>
    <w:rsid w:val="00930C77"/>
    <w:rsid w:val="00940E42"/>
    <w:rsid w:val="00944F53"/>
    <w:rsid w:val="00955CAA"/>
    <w:rsid w:val="009651BB"/>
    <w:rsid w:val="009660D5"/>
    <w:rsid w:val="00966688"/>
    <w:rsid w:val="00991849"/>
    <w:rsid w:val="009B4E9C"/>
    <w:rsid w:val="009C0DEE"/>
    <w:rsid w:val="009D1B40"/>
    <w:rsid w:val="009E5DDD"/>
    <w:rsid w:val="009E5FB2"/>
    <w:rsid w:val="00A02B69"/>
    <w:rsid w:val="00A04ECC"/>
    <w:rsid w:val="00A6156A"/>
    <w:rsid w:val="00A636F7"/>
    <w:rsid w:val="00A939EC"/>
    <w:rsid w:val="00AA2E17"/>
    <w:rsid w:val="00AA3F7A"/>
    <w:rsid w:val="00AA52EB"/>
    <w:rsid w:val="00AB76A2"/>
    <w:rsid w:val="00AC36E4"/>
    <w:rsid w:val="00AE22E6"/>
    <w:rsid w:val="00AF698D"/>
    <w:rsid w:val="00B029CD"/>
    <w:rsid w:val="00B0701F"/>
    <w:rsid w:val="00B10E91"/>
    <w:rsid w:val="00B115A0"/>
    <w:rsid w:val="00B2268E"/>
    <w:rsid w:val="00B32C59"/>
    <w:rsid w:val="00B37B78"/>
    <w:rsid w:val="00B44FA5"/>
    <w:rsid w:val="00B63189"/>
    <w:rsid w:val="00B65B72"/>
    <w:rsid w:val="00B7158F"/>
    <w:rsid w:val="00B77193"/>
    <w:rsid w:val="00B82CFA"/>
    <w:rsid w:val="00B87218"/>
    <w:rsid w:val="00B8746E"/>
    <w:rsid w:val="00B90BB5"/>
    <w:rsid w:val="00BA0965"/>
    <w:rsid w:val="00BC29BB"/>
    <w:rsid w:val="00BC465B"/>
    <w:rsid w:val="00BC4B7F"/>
    <w:rsid w:val="00BE0406"/>
    <w:rsid w:val="00BE2137"/>
    <w:rsid w:val="00C022A8"/>
    <w:rsid w:val="00C0494A"/>
    <w:rsid w:val="00C052B7"/>
    <w:rsid w:val="00C121FD"/>
    <w:rsid w:val="00C17121"/>
    <w:rsid w:val="00C23822"/>
    <w:rsid w:val="00C24E35"/>
    <w:rsid w:val="00C472F0"/>
    <w:rsid w:val="00C5355F"/>
    <w:rsid w:val="00C557E0"/>
    <w:rsid w:val="00C61457"/>
    <w:rsid w:val="00C727EC"/>
    <w:rsid w:val="00C940F6"/>
    <w:rsid w:val="00CB6BEF"/>
    <w:rsid w:val="00CC0233"/>
    <w:rsid w:val="00CC7558"/>
    <w:rsid w:val="00CD1A23"/>
    <w:rsid w:val="00CE5507"/>
    <w:rsid w:val="00D048B8"/>
    <w:rsid w:val="00D05D36"/>
    <w:rsid w:val="00D127B6"/>
    <w:rsid w:val="00D1296B"/>
    <w:rsid w:val="00D22122"/>
    <w:rsid w:val="00D30163"/>
    <w:rsid w:val="00D564EF"/>
    <w:rsid w:val="00D60451"/>
    <w:rsid w:val="00D61DB2"/>
    <w:rsid w:val="00D81B28"/>
    <w:rsid w:val="00D83DC5"/>
    <w:rsid w:val="00D8670F"/>
    <w:rsid w:val="00DA2FAD"/>
    <w:rsid w:val="00DB2EC7"/>
    <w:rsid w:val="00DC6EF5"/>
    <w:rsid w:val="00DD2689"/>
    <w:rsid w:val="00DD6EBC"/>
    <w:rsid w:val="00DF1730"/>
    <w:rsid w:val="00DF269E"/>
    <w:rsid w:val="00E0011F"/>
    <w:rsid w:val="00E01690"/>
    <w:rsid w:val="00E26966"/>
    <w:rsid w:val="00E32896"/>
    <w:rsid w:val="00E32BDE"/>
    <w:rsid w:val="00E34174"/>
    <w:rsid w:val="00E45E0D"/>
    <w:rsid w:val="00E637E3"/>
    <w:rsid w:val="00E64243"/>
    <w:rsid w:val="00EB6F5E"/>
    <w:rsid w:val="00EC4894"/>
    <w:rsid w:val="00EC66A0"/>
    <w:rsid w:val="00ED62DC"/>
    <w:rsid w:val="00EE0A9D"/>
    <w:rsid w:val="00EE3721"/>
    <w:rsid w:val="00EE6621"/>
    <w:rsid w:val="00EF5677"/>
    <w:rsid w:val="00EF7C05"/>
    <w:rsid w:val="00F07E63"/>
    <w:rsid w:val="00F221B8"/>
    <w:rsid w:val="00F27776"/>
    <w:rsid w:val="00F3060D"/>
    <w:rsid w:val="00F310DE"/>
    <w:rsid w:val="00F40E9C"/>
    <w:rsid w:val="00F54E8B"/>
    <w:rsid w:val="00F55B24"/>
    <w:rsid w:val="00F563A0"/>
    <w:rsid w:val="00F56FF9"/>
    <w:rsid w:val="00F72058"/>
    <w:rsid w:val="00F822F6"/>
    <w:rsid w:val="00F86DC4"/>
    <w:rsid w:val="00FC61FA"/>
    <w:rsid w:val="00FC6FBE"/>
    <w:rsid w:val="00FD07BC"/>
    <w:rsid w:val="00FD2A70"/>
    <w:rsid w:val="00FF09F1"/>
    <w:rsid w:val="00FF700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2459FE"/>
  <w15:chartTrackingRefBased/>
  <w15:docId w15:val="{86490D2E-ABC7-45B4-855C-C32E46CB7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C00A5"/>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unhideWhenUsed/>
    <w:qFormat/>
    <w:rsid w:val="002C00A5"/>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2C00A5"/>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2C00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00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00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00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00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00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0A5"/>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rsid w:val="002C00A5"/>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2C00A5"/>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2C00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00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00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00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00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00A5"/>
    <w:rPr>
      <w:rFonts w:eastAsiaTheme="majorEastAsia" w:cstheme="majorBidi"/>
      <w:color w:val="272727" w:themeColor="text1" w:themeTint="D8"/>
    </w:rPr>
  </w:style>
  <w:style w:type="paragraph" w:styleId="Title">
    <w:name w:val="Title"/>
    <w:basedOn w:val="Normal"/>
    <w:next w:val="Normal"/>
    <w:link w:val="TitleChar"/>
    <w:uiPriority w:val="10"/>
    <w:qFormat/>
    <w:rsid w:val="002C00A5"/>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2C00A5"/>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2C00A5"/>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2C00A5"/>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2C00A5"/>
    <w:pPr>
      <w:spacing w:before="160"/>
      <w:jc w:val="center"/>
    </w:pPr>
    <w:rPr>
      <w:i/>
      <w:iCs/>
      <w:color w:val="404040" w:themeColor="text1" w:themeTint="BF"/>
    </w:rPr>
  </w:style>
  <w:style w:type="character" w:customStyle="1" w:styleId="QuoteChar">
    <w:name w:val="Quote Char"/>
    <w:basedOn w:val="DefaultParagraphFont"/>
    <w:link w:val="Quote"/>
    <w:uiPriority w:val="29"/>
    <w:rsid w:val="002C00A5"/>
    <w:rPr>
      <w:i/>
      <w:iCs/>
      <w:color w:val="404040" w:themeColor="text1" w:themeTint="BF"/>
    </w:rPr>
  </w:style>
  <w:style w:type="paragraph" w:styleId="ListParagraph">
    <w:name w:val="List Paragraph"/>
    <w:basedOn w:val="Normal"/>
    <w:uiPriority w:val="34"/>
    <w:qFormat/>
    <w:rsid w:val="002C00A5"/>
    <w:pPr>
      <w:ind w:left="720"/>
      <w:contextualSpacing/>
    </w:pPr>
  </w:style>
  <w:style w:type="character" w:styleId="IntenseEmphasis">
    <w:name w:val="Intense Emphasis"/>
    <w:basedOn w:val="DefaultParagraphFont"/>
    <w:uiPriority w:val="21"/>
    <w:qFormat/>
    <w:rsid w:val="002C00A5"/>
    <w:rPr>
      <w:i/>
      <w:iCs/>
      <w:color w:val="0F4761" w:themeColor="accent1" w:themeShade="BF"/>
    </w:rPr>
  </w:style>
  <w:style w:type="paragraph" w:styleId="IntenseQuote">
    <w:name w:val="Intense Quote"/>
    <w:basedOn w:val="Normal"/>
    <w:next w:val="Normal"/>
    <w:link w:val="IntenseQuoteChar"/>
    <w:uiPriority w:val="30"/>
    <w:qFormat/>
    <w:rsid w:val="002C00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00A5"/>
    <w:rPr>
      <w:i/>
      <w:iCs/>
      <w:color w:val="0F4761" w:themeColor="accent1" w:themeShade="BF"/>
    </w:rPr>
  </w:style>
  <w:style w:type="character" w:styleId="IntenseReference">
    <w:name w:val="Intense Reference"/>
    <w:basedOn w:val="DefaultParagraphFont"/>
    <w:uiPriority w:val="32"/>
    <w:qFormat/>
    <w:rsid w:val="002C00A5"/>
    <w:rPr>
      <w:b/>
      <w:bCs/>
      <w:smallCaps/>
      <w:color w:val="0F4761" w:themeColor="accent1" w:themeShade="BF"/>
      <w:spacing w:val="5"/>
    </w:rPr>
  </w:style>
  <w:style w:type="character" w:styleId="Hyperlink">
    <w:name w:val="Hyperlink"/>
    <w:basedOn w:val="DefaultParagraphFont"/>
    <w:uiPriority w:val="99"/>
    <w:unhideWhenUsed/>
    <w:rsid w:val="002C00A5"/>
    <w:rPr>
      <w:color w:val="467886" w:themeColor="hyperlink"/>
      <w:u w:val="single"/>
    </w:rPr>
  </w:style>
  <w:style w:type="character" w:customStyle="1" w:styleId="UnresolvedMention1">
    <w:name w:val="Unresolved Mention1"/>
    <w:basedOn w:val="DefaultParagraphFont"/>
    <w:uiPriority w:val="99"/>
    <w:semiHidden/>
    <w:unhideWhenUsed/>
    <w:rsid w:val="002C00A5"/>
    <w:rPr>
      <w:color w:val="605E5C"/>
      <w:shd w:val="clear" w:color="auto" w:fill="E1DFDD"/>
    </w:rPr>
  </w:style>
  <w:style w:type="paragraph" w:customStyle="1" w:styleId="TableParagraph">
    <w:name w:val="Table Paragraph"/>
    <w:basedOn w:val="Normal"/>
    <w:uiPriority w:val="1"/>
    <w:qFormat/>
    <w:rsid w:val="005B3429"/>
    <w:pPr>
      <w:widowControl w:val="0"/>
      <w:autoSpaceDE w:val="0"/>
      <w:autoSpaceDN w:val="0"/>
      <w:spacing w:before="62" w:after="0" w:line="200" w:lineRule="exact"/>
      <w:jc w:val="right"/>
    </w:pPr>
    <w:rPr>
      <w:rFonts w:ascii="Arial MT" w:eastAsia="Arial MT" w:hAnsi="Arial MT" w:cs="Arial MT"/>
      <w:kern w:val="0"/>
      <w:sz w:val="22"/>
      <w:szCs w:val="22"/>
      <w:lang w:val="en-US" w:bidi="ar-SA"/>
      <w14:ligatures w14:val="none"/>
    </w:rPr>
  </w:style>
  <w:style w:type="paragraph" w:styleId="NormalWeb">
    <w:name w:val="Normal (Web)"/>
    <w:basedOn w:val="Normal"/>
    <w:uiPriority w:val="99"/>
    <w:semiHidden/>
    <w:unhideWhenUsed/>
    <w:rsid w:val="004D2C29"/>
    <w:rPr>
      <w:rFonts w:ascii="Times New Roman" w:hAnsi="Times New Roman" w:cs="Mangal"/>
    </w:rPr>
  </w:style>
  <w:style w:type="character" w:customStyle="1" w:styleId="UnresolvedMention2">
    <w:name w:val="Unresolved Mention2"/>
    <w:basedOn w:val="DefaultParagraphFont"/>
    <w:uiPriority w:val="99"/>
    <w:semiHidden/>
    <w:unhideWhenUsed/>
    <w:rsid w:val="00D61DB2"/>
    <w:rPr>
      <w:color w:val="605E5C"/>
      <w:shd w:val="clear" w:color="auto" w:fill="E1DFDD"/>
    </w:rPr>
  </w:style>
  <w:style w:type="table" w:styleId="TableGrid">
    <w:name w:val="Table Grid"/>
    <w:basedOn w:val="TableNormal"/>
    <w:uiPriority w:val="39"/>
    <w:rsid w:val="001C3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rsid w:val="009D1B40"/>
    <w:rPr>
      <w:rFonts w:ascii="Times New Roman" w:eastAsia="Times New Roman" w:hAnsi="Times New Roman" w:cs="Mangal"/>
      <w:kern w:val="0"/>
      <w:sz w:val="22"/>
      <w:szCs w:val="20"/>
      <w:lang w:eastAsia="en-IN"/>
    </w:rPr>
  </w:style>
  <w:style w:type="paragraph" w:styleId="Header">
    <w:name w:val="header"/>
    <w:basedOn w:val="Normal"/>
    <w:link w:val="HeaderChar"/>
    <w:uiPriority w:val="99"/>
    <w:unhideWhenUsed/>
    <w:rsid w:val="009D1B40"/>
    <w:pPr>
      <w:tabs>
        <w:tab w:val="center" w:pos="4513"/>
        <w:tab w:val="right" w:pos="9026"/>
      </w:tabs>
      <w:suppressAutoHyphens/>
      <w:spacing w:after="0" w:line="240" w:lineRule="auto"/>
    </w:pPr>
    <w:rPr>
      <w:rFonts w:ascii="Times New Roman" w:eastAsia="Times New Roman" w:hAnsi="Times New Roman" w:cs="Mangal"/>
      <w:kern w:val="0"/>
      <w:sz w:val="22"/>
      <w:szCs w:val="20"/>
      <w:lang w:eastAsia="en-IN"/>
    </w:rPr>
  </w:style>
  <w:style w:type="character" w:customStyle="1" w:styleId="HeaderChar1">
    <w:name w:val="Header Char1"/>
    <w:basedOn w:val="DefaultParagraphFont"/>
    <w:uiPriority w:val="99"/>
    <w:semiHidden/>
    <w:rsid w:val="009D1B40"/>
  </w:style>
  <w:style w:type="character" w:customStyle="1" w:styleId="UnresolvedMention">
    <w:name w:val="Unresolved Mention"/>
    <w:basedOn w:val="DefaultParagraphFont"/>
    <w:uiPriority w:val="99"/>
    <w:semiHidden/>
    <w:unhideWhenUsed/>
    <w:rsid w:val="006D6553"/>
    <w:rPr>
      <w:color w:val="605E5C"/>
      <w:shd w:val="clear" w:color="auto" w:fill="E1DFDD"/>
    </w:rPr>
  </w:style>
  <w:style w:type="paragraph" w:styleId="Footer">
    <w:name w:val="footer"/>
    <w:basedOn w:val="Normal"/>
    <w:link w:val="FooterChar"/>
    <w:uiPriority w:val="99"/>
    <w:unhideWhenUsed/>
    <w:rsid w:val="00BA0965"/>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BA0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5248">
      <w:bodyDiv w:val="1"/>
      <w:marLeft w:val="0"/>
      <w:marRight w:val="0"/>
      <w:marTop w:val="0"/>
      <w:marBottom w:val="0"/>
      <w:divBdr>
        <w:top w:val="none" w:sz="0" w:space="0" w:color="auto"/>
        <w:left w:val="none" w:sz="0" w:space="0" w:color="auto"/>
        <w:bottom w:val="none" w:sz="0" w:space="0" w:color="auto"/>
        <w:right w:val="none" w:sz="0" w:space="0" w:color="auto"/>
      </w:divBdr>
    </w:div>
    <w:div w:id="188240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ubs.icar.org.in/index.php/IJSS" TargetMode="External"/><Relationship Id="rId13" Type="http://schemas.openxmlformats.org/officeDocument/2006/relationships/hyperlink" Target="https://doi" TargetMode="External"/><Relationship Id="rId18" Type="http://schemas.openxmlformats.org/officeDocument/2006/relationships/hyperlink" Target="https://agriculture.economictimes.indiatimes.com/tag/india" TargetMode="External"/><Relationship Id="rId26" Type="http://schemas.openxmlformats.org/officeDocument/2006/relationships/hyperlink" Target="https://agriculture.economictimes.indiatimes.com/news/markets-and-trade/indian-spice-exporters-face-headwinds-as-chilli-cumin-shipments-slump-in-fy26/131506148?utm_source=chatgpt.com" TargetMode="External"/><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endnotes" Target="endnotes.xml"/><Relationship Id="rId12" Type="http://schemas.openxmlformats.org/officeDocument/2006/relationships/hyperlink" Target="https://epubs.icar.org.in/index.php/IJSS/index" TargetMode="External"/><Relationship Id="rId17" Type="http://schemas.openxmlformats.org/officeDocument/2006/relationships/footer" Target="footer3.xml"/><Relationship Id="rId25" Type="http://schemas.openxmlformats.org/officeDocument/2006/relationships/hyperlink" Target="https://ris.org.in/sites/default/files/Publication/policy-brief-147-the-war-in-gulf-and-what-it.pdf?utm_source=chatgpt.com"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hart" Target="charts/chart2.xml"/><Relationship Id="rId29" Type="http://schemas.openxmlformats.org/officeDocument/2006/relationships/hyperlink" Target="https://www.reuters.com/world/india/indias-july-merchandise-trade-deficit-3198-billion-2026-08-13/?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bs.icar.org.in/index.php/IJSS" TargetMode="External"/><Relationship Id="rId24" Type="http://schemas.openxmlformats.org/officeDocument/2006/relationships/hyperlink" Target="https://www.worldagricultureforum.org?utm_source=chatgpt.com"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hart" Target="charts/chart5.xml"/><Relationship Id="rId28" Type="http://schemas.openxmlformats.org/officeDocument/2006/relationships/hyperlink" Target="https://www.igrain.in/posts/news-capsule-indian-cumin-exports-hit-by-sharp?utm_source=chatgpt.com" TargetMode="External"/><Relationship Id="rId10" Type="http://schemas.openxmlformats.org/officeDocument/2006/relationships/image" Target="media/image1.wmf"/><Relationship Id="rId19" Type="http://schemas.openxmlformats.org/officeDocument/2006/relationships/chart" Target="charts/chart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pubs.icar.org.in/index.php/IJSS/index" TargetMode="External"/><Relationship Id="rId14" Type="http://schemas.openxmlformats.org/officeDocument/2006/relationships/header" Target="header1.xml"/><Relationship Id="rId22" Type="http://schemas.openxmlformats.org/officeDocument/2006/relationships/chart" Target="charts/chart4.xml"/><Relationship Id="rId27" Type="http://schemas.openxmlformats.org/officeDocument/2006/relationships/hyperlink" Target="https://www.ifpri.org/blog/the-iran-wars-impacts-on-global-fertilizer-markets-and-food-production?utm_source=chatgpt.com"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esktop\weekiy%20price%20of%20major%20seed%20spic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esktop\weekiy%20price%20of%20major%20seed%20spic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P\Desktop\weekiy%20price%20of%20major%20seed%20spic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P\Desktop\weekiy%20price%20of%20major%20seed%20spice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HP\Desktop\weekiy%20price%20of%20major%20seed%20spices.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Sheet1!$D$2</c:f>
              <c:strCache>
                <c:ptCount val="1"/>
                <c:pt idx="0">
                  <c:v>This week price </c:v>
                </c:pt>
              </c:strCache>
            </c:strRef>
          </c:tx>
          <c:spPr>
            <a:ln w="28575" cap="rnd">
              <a:solidFill>
                <a:schemeClr val="accent1"/>
              </a:solidFill>
              <a:round/>
            </a:ln>
            <a:effectLst/>
          </c:spPr>
          <c:marker>
            <c:symbol val="none"/>
          </c:marker>
          <c:cat>
            <c:numRef>
              <c:f>Sheet1!$A$3:$A$60</c:f>
              <c:numCache>
                <c:formatCode>m/d/yyyy</c:formatCode>
                <c:ptCount val="58"/>
                <c:pt idx="0">
                  <c:v>45780</c:v>
                </c:pt>
                <c:pt idx="1">
                  <c:v>45787</c:v>
                </c:pt>
                <c:pt idx="2">
                  <c:v>45794</c:v>
                </c:pt>
                <c:pt idx="3">
                  <c:v>45801</c:v>
                </c:pt>
                <c:pt idx="4">
                  <c:v>45808</c:v>
                </c:pt>
                <c:pt idx="5">
                  <c:v>45815</c:v>
                </c:pt>
                <c:pt idx="6">
                  <c:v>45822</c:v>
                </c:pt>
                <c:pt idx="7">
                  <c:v>45829</c:v>
                </c:pt>
                <c:pt idx="8">
                  <c:v>45836</c:v>
                </c:pt>
                <c:pt idx="9">
                  <c:v>45843</c:v>
                </c:pt>
                <c:pt idx="10">
                  <c:v>45850</c:v>
                </c:pt>
                <c:pt idx="11">
                  <c:v>45857</c:v>
                </c:pt>
                <c:pt idx="12">
                  <c:v>45864</c:v>
                </c:pt>
                <c:pt idx="13">
                  <c:v>45871</c:v>
                </c:pt>
                <c:pt idx="14">
                  <c:v>45878</c:v>
                </c:pt>
                <c:pt idx="15">
                  <c:v>45885</c:v>
                </c:pt>
                <c:pt idx="16">
                  <c:v>45892</c:v>
                </c:pt>
                <c:pt idx="17">
                  <c:v>45899</c:v>
                </c:pt>
                <c:pt idx="18">
                  <c:v>45906</c:v>
                </c:pt>
                <c:pt idx="19">
                  <c:v>45913</c:v>
                </c:pt>
                <c:pt idx="20">
                  <c:v>45920</c:v>
                </c:pt>
                <c:pt idx="21">
                  <c:v>45927</c:v>
                </c:pt>
                <c:pt idx="22">
                  <c:v>45934</c:v>
                </c:pt>
                <c:pt idx="23">
                  <c:v>45941</c:v>
                </c:pt>
                <c:pt idx="24">
                  <c:v>45948</c:v>
                </c:pt>
                <c:pt idx="25">
                  <c:v>45955</c:v>
                </c:pt>
                <c:pt idx="26">
                  <c:v>45962</c:v>
                </c:pt>
                <c:pt idx="27">
                  <c:v>45976</c:v>
                </c:pt>
                <c:pt idx="28">
                  <c:v>45983</c:v>
                </c:pt>
                <c:pt idx="29">
                  <c:v>45990</c:v>
                </c:pt>
                <c:pt idx="30">
                  <c:v>45997</c:v>
                </c:pt>
                <c:pt idx="31">
                  <c:v>46004</c:v>
                </c:pt>
                <c:pt idx="32">
                  <c:v>46011</c:v>
                </c:pt>
                <c:pt idx="33">
                  <c:v>46018</c:v>
                </c:pt>
                <c:pt idx="34">
                  <c:v>46025</c:v>
                </c:pt>
                <c:pt idx="35">
                  <c:v>46032</c:v>
                </c:pt>
                <c:pt idx="36">
                  <c:v>46039</c:v>
                </c:pt>
                <c:pt idx="37">
                  <c:v>46046</c:v>
                </c:pt>
                <c:pt idx="38">
                  <c:v>46053</c:v>
                </c:pt>
                <c:pt idx="40">
                  <c:v>46060</c:v>
                </c:pt>
                <c:pt idx="41">
                  <c:v>46067</c:v>
                </c:pt>
                <c:pt idx="42">
                  <c:v>46074</c:v>
                </c:pt>
                <c:pt idx="43">
                  <c:v>46081</c:v>
                </c:pt>
                <c:pt idx="45">
                  <c:v>46088</c:v>
                </c:pt>
                <c:pt idx="46">
                  <c:v>46095</c:v>
                </c:pt>
                <c:pt idx="47">
                  <c:v>46102</c:v>
                </c:pt>
                <c:pt idx="48">
                  <c:v>46109</c:v>
                </c:pt>
                <c:pt idx="50">
                  <c:v>46116</c:v>
                </c:pt>
                <c:pt idx="51">
                  <c:v>46123</c:v>
                </c:pt>
                <c:pt idx="52">
                  <c:v>46130</c:v>
                </c:pt>
                <c:pt idx="53">
                  <c:v>46137</c:v>
                </c:pt>
                <c:pt idx="55">
                  <c:v>46144</c:v>
                </c:pt>
                <c:pt idx="56">
                  <c:v>46151</c:v>
                </c:pt>
                <c:pt idx="57">
                  <c:v>46158</c:v>
                </c:pt>
              </c:numCache>
            </c:numRef>
          </c:cat>
          <c:val>
            <c:numRef>
              <c:f>Sheet1!$D$3:$D$60</c:f>
              <c:numCache>
                <c:formatCode>0.00</c:formatCode>
                <c:ptCount val="58"/>
                <c:pt idx="0">
                  <c:v>87.5</c:v>
                </c:pt>
                <c:pt idx="1">
                  <c:v>86.5</c:v>
                </c:pt>
                <c:pt idx="2">
                  <c:v>85</c:v>
                </c:pt>
                <c:pt idx="3">
                  <c:v>88</c:v>
                </c:pt>
                <c:pt idx="4">
                  <c:v>76</c:v>
                </c:pt>
                <c:pt idx="5">
                  <c:v>72</c:v>
                </c:pt>
                <c:pt idx="6">
                  <c:v>71</c:v>
                </c:pt>
                <c:pt idx="7">
                  <c:v>72.5</c:v>
                </c:pt>
                <c:pt idx="8">
                  <c:v>77.5</c:v>
                </c:pt>
                <c:pt idx="9">
                  <c:v>72.5</c:v>
                </c:pt>
                <c:pt idx="10">
                  <c:v>73</c:v>
                </c:pt>
                <c:pt idx="11">
                  <c:v>69.5</c:v>
                </c:pt>
                <c:pt idx="12">
                  <c:v>70.5</c:v>
                </c:pt>
                <c:pt idx="13">
                  <c:v>68.5</c:v>
                </c:pt>
                <c:pt idx="14">
                  <c:v>74</c:v>
                </c:pt>
                <c:pt idx="15">
                  <c:v>70</c:v>
                </c:pt>
                <c:pt idx="16">
                  <c:v>69.5</c:v>
                </c:pt>
                <c:pt idx="17">
                  <c:v>72.5</c:v>
                </c:pt>
                <c:pt idx="18">
                  <c:v>69.5</c:v>
                </c:pt>
                <c:pt idx="19">
                  <c:v>72.5</c:v>
                </c:pt>
                <c:pt idx="20">
                  <c:v>69</c:v>
                </c:pt>
                <c:pt idx="21">
                  <c:v>69</c:v>
                </c:pt>
                <c:pt idx="22">
                  <c:v>68</c:v>
                </c:pt>
                <c:pt idx="23">
                  <c:v>67.5</c:v>
                </c:pt>
                <c:pt idx="24">
                  <c:v>67.5</c:v>
                </c:pt>
                <c:pt idx="25">
                  <c:v>72</c:v>
                </c:pt>
                <c:pt idx="26">
                  <c:v>68.5</c:v>
                </c:pt>
                <c:pt idx="27">
                  <c:v>75</c:v>
                </c:pt>
                <c:pt idx="28">
                  <c:v>75.5</c:v>
                </c:pt>
                <c:pt idx="29">
                  <c:v>78</c:v>
                </c:pt>
                <c:pt idx="30">
                  <c:v>78</c:v>
                </c:pt>
                <c:pt idx="31">
                  <c:v>82.5</c:v>
                </c:pt>
                <c:pt idx="32">
                  <c:v>79</c:v>
                </c:pt>
                <c:pt idx="33">
                  <c:v>85</c:v>
                </c:pt>
                <c:pt idx="34">
                  <c:v>84.5</c:v>
                </c:pt>
                <c:pt idx="35">
                  <c:v>86</c:v>
                </c:pt>
                <c:pt idx="36">
                  <c:v>84.5</c:v>
                </c:pt>
                <c:pt idx="37">
                  <c:v>85</c:v>
                </c:pt>
                <c:pt idx="38">
                  <c:v>87</c:v>
                </c:pt>
                <c:pt idx="39">
                  <c:v>85.4</c:v>
                </c:pt>
                <c:pt idx="40">
                  <c:v>88</c:v>
                </c:pt>
                <c:pt idx="41">
                  <c:v>81.5</c:v>
                </c:pt>
                <c:pt idx="42">
                  <c:v>81</c:v>
                </c:pt>
                <c:pt idx="43">
                  <c:v>93</c:v>
                </c:pt>
                <c:pt idx="44">
                  <c:v>85.875</c:v>
                </c:pt>
                <c:pt idx="45">
                  <c:v>111</c:v>
                </c:pt>
                <c:pt idx="46">
                  <c:v>126.5</c:v>
                </c:pt>
                <c:pt idx="47">
                  <c:v>144</c:v>
                </c:pt>
                <c:pt idx="48">
                  <c:v>131.5</c:v>
                </c:pt>
                <c:pt idx="49">
                  <c:v>128.25</c:v>
                </c:pt>
                <c:pt idx="50">
                  <c:v>136</c:v>
                </c:pt>
                <c:pt idx="51">
                  <c:v>136.5</c:v>
                </c:pt>
                <c:pt idx="52">
                  <c:v>130.5</c:v>
                </c:pt>
                <c:pt idx="53">
                  <c:v>136</c:v>
                </c:pt>
                <c:pt idx="54">
                  <c:v>134.75</c:v>
                </c:pt>
                <c:pt idx="55">
                  <c:v>131.5</c:v>
                </c:pt>
                <c:pt idx="56">
                  <c:v>129</c:v>
                </c:pt>
                <c:pt idx="57">
                  <c:v>126</c:v>
                </c:pt>
              </c:numCache>
            </c:numRef>
          </c:val>
          <c:smooth val="0"/>
          <c:extLst>
            <c:ext xmlns:c16="http://schemas.microsoft.com/office/drawing/2014/chart" uri="{C3380CC4-5D6E-409C-BE32-E72D297353CC}">
              <c16:uniqueId val="{00000000-E943-465D-AF7E-42E1FB76B9AE}"/>
            </c:ext>
          </c:extLst>
        </c:ser>
        <c:ser>
          <c:idx val="1"/>
          <c:order val="1"/>
          <c:tx>
            <c:strRef>
              <c:f>Sheet1!$E$2</c:f>
              <c:strCache>
                <c:ptCount val="1"/>
                <c:pt idx="0">
                  <c:v> Last year same week price</c:v>
                </c:pt>
              </c:strCache>
            </c:strRef>
          </c:tx>
          <c:spPr>
            <a:ln w="28575" cap="rnd">
              <a:solidFill>
                <a:schemeClr val="accent2"/>
              </a:solidFill>
              <a:round/>
            </a:ln>
            <a:effectLst/>
          </c:spPr>
          <c:marker>
            <c:symbol val="none"/>
          </c:marker>
          <c:cat>
            <c:numRef>
              <c:f>Sheet1!$A$3:$A$60</c:f>
              <c:numCache>
                <c:formatCode>m/d/yyyy</c:formatCode>
                <c:ptCount val="58"/>
                <c:pt idx="0">
                  <c:v>45780</c:v>
                </c:pt>
                <c:pt idx="1">
                  <c:v>45787</c:v>
                </c:pt>
                <c:pt idx="2">
                  <c:v>45794</c:v>
                </c:pt>
                <c:pt idx="3">
                  <c:v>45801</c:v>
                </c:pt>
                <c:pt idx="4">
                  <c:v>45808</c:v>
                </c:pt>
                <c:pt idx="5">
                  <c:v>45815</c:v>
                </c:pt>
                <c:pt idx="6">
                  <c:v>45822</c:v>
                </c:pt>
                <c:pt idx="7">
                  <c:v>45829</c:v>
                </c:pt>
                <c:pt idx="8">
                  <c:v>45836</c:v>
                </c:pt>
                <c:pt idx="9">
                  <c:v>45843</c:v>
                </c:pt>
                <c:pt idx="10">
                  <c:v>45850</c:v>
                </c:pt>
                <c:pt idx="11">
                  <c:v>45857</c:v>
                </c:pt>
                <c:pt idx="12">
                  <c:v>45864</c:v>
                </c:pt>
                <c:pt idx="13">
                  <c:v>45871</c:v>
                </c:pt>
                <c:pt idx="14">
                  <c:v>45878</c:v>
                </c:pt>
                <c:pt idx="15">
                  <c:v>45885</c:v>
                </c:pt>
                <c:pt idx="16">
                  <c:v>45892</c:v>
                </c:pt>
                <c:pt idx="17">
                  <c:v>45899</c:v>
                </c:pt>
                <c:pt idx="18">
                  <c:v>45906</c:v>
                </c:pt>
                <c:pt idx="19">
                  <c:v>45913</c:v>
                </c:pt>
                <c:pt idx="20">
                  <c:v>45920</c:v>
                </c:pt>
                <c:pt idx="21">
                  <c:v>45927</c:v>
                </c:pt>
                <c:pt idx="22">
                  <c:v>45934</c:v>
                </c:pt>
                <c:pt idx="23">
                  <c:v>45941</c:v>
                </c:pt>
                <c:pt idx="24">
                  <c:v>45948</c:v>
                </c:pt>
                <c:pt idx="25">
                  <c:v>45955</c:v>
                </c:pt>
                <c:pt idx="26">
                  <c:v>45962</c:v>
                </c:pt>
                <c:pt idx="27">
                  <c:v>45976</c:v>
                </c:pt>
                <c:pt idx="28">
                  <c:v>45983</c:v>
                </c:pt>
                <c:pt idx="29">
                  <c:v>45990</c:v>
                </c:pt>
                <c:pt idx="30">
                  <c:v>45997</c:v>
                </c:pt>
                <c:pt idx="31">
                  <c:v>46004</c:v>
                </c:pt>
                <c:pt idx="32">
                  <c:v>46011</c:v>
                </c:pt>
                <c:pt idx="33">
                  <c:v>46018</c:v>
                </c:pt>
                <c:pt idx="34">
                  <c:v>46025</c:v>
                </c:pt>
                <c:pt idx="35">
                  <c:v>46032</c:v>
                </c:pt>
                <c:pt idx="36">
                  <c:v>46039</c:v>
                </c:pt>
                <c:pt idx="37">
                  <c:v>46046</c:v>
                </c:pt>
                <c:pt idx="38">
                  <c:v>46053</c:v>
                </c:pt>
                <c:pt idx="40">
                  <c:v>46060</c:v>
                </c:pt>
                <c:pt idx="41">
                  <c:v>46067</c:v>
                </c:pt>
                <c:pt idx="42">
                  <c:v>46074</c:v>
                </c:pt>
                <c:pt idx="43">
                  <c:v>46081</c:v>
                </c:pt>
                <c:pt idx="45">
                  <c:v>46088</c:v>
                </c:pt>
                <c:pt idx="46">
                  <c:v>46095</c:v>
                </c:pt>
                <c:pt idx="47">
                  <c:v>46102</c:v>
                </c:pt>
                <c:pt idx="48">
                  <c:v>46109</c:v>
                </c:pt>
                <c:pt idx="50">
                  <c:v>46116</c:v>
                </c:pt>
                <c:pt idx="51">
                  <c:v>46123</c:v>
                </c:pt>
                <c:pt idx="52">
                  <c:v>46130</c:v>
                </c:pt>
                <c:pt idx="53">
                  <c:v>46137</c:v>
                </c:pt>
                <c:pt idx="55">
                  <c:v>46144</c:v>
                </c:pt>
                <c:pt idx="56">
                  <c:v>46151</c:v>
                </c:pt>
                <c:pt idx="57">
                  <c:v>46158</c:v>
                </c:pt>
              </c:numCache>
            </c:numRef>
          </c:cat>
          <c:val>
            <c:numRef>
              <c:f>Sheet1!$E$3:$E$60</c:f>
              <c:numCache>
                <c:formatCode>0.00</c:formatCode>
                <c:ptCount val="58"/>
                <c:pt idx="0">
                  <c:v>102.5</c:v>
                </c:pt>
                <c:pt idx="1">
                  <c:v>85</c:v>
                </c:pt>
                <c:pt idx="2">
                  <c:v>89</c:v>
                </c:pt>
                <c:pt idx="3">
                  <c:v>81.5</c:v>
                </c:pt>
                <c:pt idx="4">
                  <c:v>79</c:v>
                </c:pt>
                <c:pt idx="5">
                  <c:v>76.5</c:v>
                </c:pt>
                <c:pt idx="6">
                  <c:v>77</c:v>
                </c:pt>
                <c:pt idx="7">
                  <c:v>76</c:v>
                </c:pt>
                <c:pt idx="8">
                  <c:v>87.5</c:v>
                </c:pt>
                <c:pt idx="9">
                  <c:v>74</c:v>
                </c:pt>
                <c:pt idx="10">
                  <c:v>79</c:v>
                </c:pt>
                <c:pt idx="11">
                  <c:v>71</c:v>
                </c:pt>
                <c:pt idx="12">
                  <c:v>72</c:v>
                </c:pt>
                <c:pt idx="13">
                  <c:v>69</c:v>
                </c:pt>
                <c:pt idx="14">
                  <c:v>66.5</c:v>
                </c:pt>
                <c:pt idx="15">
                  <c:v>71.5</c:v>
                </c:pt>
                <c:pt idx="16">
                  <c:v>65</c:v>
                </c:pt>
                <c:pt idx="17">
                  <c:v>81</c:v>
                </c:pt>
                <c:pt idx="18">
                  <c:v>64.5</c:v>
                </c:pt>
                <c:pt idx="19">
                  <c:v>63.5</c:v>
                </c:pt>
                <c:pt idx="20">
                  <c:v>73</c:v>
                </c:pt>
                <c:pt idx="21">
                  <c:v>68.5</c:v>
                </c:pt>
                <c:pt idx="22">
                  <c:v>70.5</c:v>
                </c:pt>
                <c:pt idx="23">
                  <c:v>73</c:v>
                </c:pt>
                <c:pt idx="24">
                  <c:v>60</c:v>
                </c:pt>
                <c:pt idx="25">
                  <c:v>61</c:v>
                </c:pt>
                <c:pt idx="26">
                  <c:v>68</c:v>
                </c:pt>
                <c:pt idx="27">
                  <c:v>69.5</c:v>
                </c:pt>
                <c:pt idx="28">
                  <c:v>75.5</c:v>
                </c:pt>
                <c:pt idx="29">
                  <c:v>71</c:v>
                </c:pt>
                <c:pt idx="30">
                  <c:v>71.5</c:v>
                </c:pt>
                <c:pt idx="31">
                  <c:v>70</c:v>
                </c:pt>
                <c:pt idx="32">
                  <c:v>73.5</c:v>
                </c:pt>
                <c:pt idx="33">
                  <c:v>70.5</c:v>
                </c:pt>
                <c:pt idx="34">
                  <c:v>71</c:v>
                </c:pt>
                <c:pt idx="35">
                  <c:v>75</c:v>
                </c:pt>
                <c:pt idx="36">
                  <c:v>76</c:v>
                </c:pt>
                <c:pt idx="37">
                  <c:v>73</c:v>
                </c:pt>
                <c:pt idx="38">
                  <c:v>69.5</c:v>
                </c:pt>
                <c:pt idx="39">
                  <c:v>72.900000000000006</c:v>
                </c:pt>
                <c:pt idx="40">
                  <c:v>78</c:v>
                </c:pt>
                <c:pt idx="41">
                  <c:v>72</c:v>
                </c:pt>
                <c:pt idx="42">
                  <c:v>79</c:v>
                </c:pt>
                <c:pt idx="43">
                  <c:v>97.5</c:v>
                </c:pt>
                <c:pt idx="44">
                  <c:v>81.625</c:v>
                </c:pt>
                <c:pt idx="45">
                  <c:v>87.5</c:v>
                </c:pt>
                <c:pt idx="46">
                  <c:v>92</c:v>
                </c:pt>
                <c:pt idx="47">
                  <c:v>86.5</c:v>
                </c:pt>
                <c:pt idx="48">
                  <c:v>97.5</c:v>
                </c:pt>
                <c:pt idx="49">
                  <c:v>90.875</c:v>
                </c:pt>
                <c:pt idx="50">
                  <c:v>92.5</c:v>
                </c:pt>
                <c:pt idx="51">
                  <c:v>89</c:v>
                </c:pt>
                <c:pt idx="52">
                  <c:v>88</c:v>
                </c:pt>
                <c:pt idx="53">
                  <c:v>90</c:v>
                </c:pt>
                <c:pt idx="54">
                  <c:v>89.875</c:v>
                </c:pt>
                <c:pt idx="55">
                  <c:v>86.5</c:v>
                </c:pt>
                <c:pt idx="56">
                  <c:v>86.5</c:v>
                </c:pt>
                <c:pt idx="57">
                  <c:v>85</c:v>
                </c:pt>
              </c:numCache>
            </c:numRef>
          </c:val>
          <c:smooth val="0"/>
          <c:extLst>
            <c:ext xmlns:c16="http://schemas.microsoft.com/office/drawing/2014/chart" uri="{C3380CC4-5D6E-409C-BE32-E72D297353CC}">
              <c16:uniqueId val="{00000001-E943-465D-AF7E-42E1FB76B9AE}"/>
            </c:ext>
          </c:extLst>
        </c:ser>
        <c:dLbls>
          <c:showLegendKey val="0"/>
          <c:showVal val="0"/>
          <c:showCatName val="0"/>
          <c:showSerName val="0"/>
          <c:showPercent val="0"/>
          <c:showBubbleSize val="0"/>
        </c:dLbls>
        <c:smooth val="0"/>
        <c:axId val="441873896"/>
        <c:axId val="441872720"/>
      </c:lineChart>
      <c:dateAx>
        <c:axId val="441873896"/>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41872720"/>
        <c:crosses val="autoZero"/>
        <c:auto val="1"/>
        <c:lblOffset val="100"/>
        <c:baseTimeUnit val="days"/>
      </c:dateAx>
      <c:valAx>
        <c:axId val="4418727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1873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Sheet1!$B$2</c:f>
              <c:strCache>
                <c:ptCount val="1"/>
                <c:pt idx="0">
                  <c:v>This week price </c:v>
                </c:pt>
              </c:strCache>
            </c:strRef>
          </c:tx>
          <c:spPr>
            <a:ln w="28575" cap="rnd">
              <a:solidFill>
                <a:schemeClr val="accent1"/>
              </a:solidFill>
              <a:round/>
            </a:ln>
            <a:effectLst/>
          </c:spPr>
          <c:marker>
            <c:symbol val="none"/>
          </c:marker>
          <c:cat>
            <c:numRef>
              <c:f>Sheet1!$A$3:$A$60</c:f>
              <c:numCache>
                <c:formatCode>m/d/yyyy</c:formatCode>
                <c:ptCount val="58"/>
                <c:pt idx="0">
                  <c:v>45780</c:v>
                </c:pt>
                <c:pt idx="1">
                  <c:v>45787</c:v>
                </c:pt>
                <c:pt idx="2">
                  <c:v>45794</c:v>
                </c:pt>
                <c:pt idx="3">
                  <c:v>45801</c:v>
                </c:pt>
                <c:pt idx="4">
                  <c:v>45808</c:v>
                </c:pt>
                <c:pt idx="5">
                  <c:v>45815</c:v>
                </c:pt>
                <c:pt idx="6">
                  <c:v>45822</c:v>
                </c:pt>
                <c:pt idx="7">
                  <c:v>45829</c:v>
                </c:pt>
                <c:pt idx="8">
                  <c:v>45836</c:v>
                </c:pt>
                <c:pt idx="9">
                  <c:v>45843</c:v>
                </c:pt>
                <c:pt idx="10">
                  <c:v>45850</c:v>
                </c:pt>
                <c:pt idx="11">
                  <c:v>45857</c:v>
                </c:pt>
                <c:pt idx="12">
                  <c:v>45864</c:v>
                </c:pt>
                <c:pt idx="13">
                  <c:v>45871</c:v>
                </c:pt>
                <c:pt idx="14">
                  <c:v>45878</c:v>
                </c:pt>
                <c:pt idx="15">
                  <c:v>45885</c:v>
                </c:pt>
                <c:pt idx="16">
                  <c:v>45892</c:v>
                </c:pt>
                <c:pt idx="17">
                  <c:v>45899</c:v>
                </c:pt>
                <c:pt idx="18">
                  <c:v>45906</c:v>
                </c:pt>
                <c:pt idx="19">
                  <c:v>45913</c:v>
                </c:pt>
                <c:pt idx="20">
                  <c:v>45920</c:v>
                </c:pt>
                <c:pt idx="21">
                  <c:v>45927</c:v>
                </c:pt>
                <c:pt idx="22">
                  <c:v>45934</c:v>
                </c:pt>
                <c:pt idx="23">
                  <c:v>45941</c:v>
                </c:pt>
                <c:pt idx="24">
                  <c:v>45948</c:v>
                </c:pt>
                <c:pt idx="25">
                  <c:v>45955</c:v>
                </c:pt>
                <c:pt idx="26">
                  <c:v>45962</c:v>
                </c:pt>
                <c:pt idx="27">
                  <c:v>45976</c:v>
                </c:pt>
                <c:pt idx="28">
                  <c:v>45983</c:v>
                </c:pt>
                <c:pt idx="29">
                  <c:v>45990</c:v>
                </c:pt>
                <c:pt idx="30">
                  <c:v>45997</c:v>
                </c:pt>
                <c:pt idx="31">
                  <c:v>46004</c:v>
                </c:pt>
                <c:pt idx="32">
                  <c:v>46011</c:v>
                </c:pt>
                <c:pt idx="33">
                  <c:v>46018</c:v>
                </c:pt>
                <c:pt idx="34">
                  <c:v>46025</c:v>
                </c:pt>
                <c:pt idx="35">
                  <c:v>46032</c:v>
                </c:pt>
                <c:pt idx="36">
                  <c:v>46039</c:v>
                </c:pt>
                <c:pt idx="37">
                  <c:v>46046</c:v>
                </c:pt>
                <c:pt idx="38">
                  <c:v>46053</c:v>
                </c:pt>
                <c:pt idx="40">
                  <c:v>46060</c:v>
                </c:pt>
                <c:pt idx="41">
                  <c:v>46067</c:v>
                </c:pt>
                <c:pt idx="42">
                  <c:v>46074</c:v>
                </c:pt>
                <c:pt idx="43">
                  <c:v>46081</c:v>
                </c:pt>
                <c:pt idx="45">
                  <c:v>46088</c:v>
                </c:pt>
                <c:pt idx="46">
                  <c:v>46095</c:v>
                </c:pt>
                <c:pt idx="47">
                  <c:v>46102</c:v>
                </c:pt>
                <c:pt idx="48">
                  <c:v>46109</c:v>
                </c:pt>
                <c:pt idx="50">
                  <c:v>46116</c:v>
                </c:pt>
                <c:pt idx="51">
                  <c:v>46123</c:v>
                </c:pt>
                <c:pt idx="52">
                  <c:v>46130</c:v>
                </c:pt>
                <c:pt idx="53">
                  <c:v>46137</c:v>
                </c:pt>
                <c:pt idx="55">
                  <c:v>46144</c:v>
                </c:pt>
                <c:pt idx="56">
                  <c:v>46151</c:v>
                </c:pt>
                <c:pt idx="57">
                  <c:v>46158</c:v>
                </c:pt>
              </c:numCache>
            </c:numRef>
          </c:cat>
          <c:val>
            <c:numRef>
              <c:f>Sheet1!$B$3:$B$60</c:f>
              <c:numCache>
                <c:formatCode>0.00</c:formatCode>
                <c:ptCount val="58"/>
                <c:pt idx="0">
                  <c:v>223.5</c:v>
                </c:pt>
                <c:pt idx="1">
                  <c:v>217.5</c:v>
                </c:pt>
                <c:pt idx="2">
                  <c:v>226</c:v>
                </c:pt>
                <c:pt idx="3">
                  <c:v>207</c:v>
                </c:pt>
                <c:pt idx="4">
                  <c:v>202</c:v>
                </c:pt>
                <c:pt idx="5">
                  <c:v>193</c:v>
                </c:pt>
                <c:pt idx="6">
                  <c:v>190</c:v>
                </c:pt>
                <c:pt idx="7">
                  <c:v>192.5</c:v>
                </c:pt>
                <c:pt idx="8">
                  <c:v>190.5</c:v>
                </c:pt>
                <c:pt idx="9">
                  <c:v>194.5</c:v>
                </c:pt>
                <c:pt idx="10">
                  <c:v>190.5</c:v>
                </c:pt>
                <c:pt idx="11">
                  <c:v>189.5</c:v>
                </c:pt>
                <c:pt idx="12">
                  <c:v>187</c:v>
                </c:pt>
                <c:pt idx="13">
                  <c:v>184</c:v>
                </c:pt>
                <c:pt idx="14">
                  <c:v>181.5</c:v>
                </c:pt>
                <c:pt idx="15">
                  <c:v>180</c:v>
                </c:pt>
                <c:pt idx="16">
                  <c:v>186</c:v>
                </c:pt>
                <c:pt idx="17">
                  <c:v>188.5</c:v>
                </c:pt>
                <c:pt idx="18">
                  <c:v>189</c:v>
                </c:pt>
                <c:pt idx="19">
                  <c:v>204.5</c:v>
                </c:pt>
                <c:pt idx="20">
                  <c:v>186</c:v>
                </c:pt>
                <c:pt idx="21">
                  <c:v>189</c:v>
                </c:pt>
                <c:pt idx="22">
                  <c:v>175</c:v>
                </c:pt>
                <c:pt idx="23">
                  <c:v>184.5</c:v>
                </c:pt>
                <c:pt idx="24">
                  <c:v>184</c:v>
                </c:pt>
                <c:pt idx="25">
                  <c:v>200.5</c:v>
                </c:pt>
                <c:pt idx="26">
                  <c:v>187</c:v>
                </c:pt>
                <c:pt idx="27">
                  <c:v>195</c:v>
                </c:pt>
                <c:pt idx="28">
                  <c:v>200</c:v>
                </c:pt>
                <c:pt idx="29">
                  <c:v>202.5</c:v>
                </c:pt>
                <c:pt idx="30">
                  <c:v>194.5</c:v>
                </c:pt>
                <c:pt idx="31">
                  <c:v>195</c:v>
                </c:pt>
                <c:pt idx="32">
                  <c:v>201.5</c:v>
                </c:pt>
                <c:pt idx="33">
                  <c:v>201.5</c:v>
                </c:pt>
                <c:pt idx="34">
                  <c:v>203</c:v>
                </c:pt>
                <c:pt idx="35">
                  <c:v>203.5</c:v>
                </c:pt>
                <c:pt idx="36">
                  <c:v>234</c:v>
                </c:pt>
                <c:pt idx="37">
                  <c:v>208</c:v>
                </c:pt>
                <c:pt idx="38">
                  <c:v>222</c:v>
                </c:pt>
                <c:pt idx="39">
                  <c:v>214.1</c:v>
                </c:pt>
                <c:pt idx="40">
                  <c:v>208.5</c:v>
                </c:pt>
                <c:pt idx="41">
                  <c:v>214.5</c:v>
                </c:pt>
                <c:pt idx="42">
                  <c:v>220</c:v>
                </c:pt>
                <c:pt idx="43">
                  <c:v>227</c:v>
                </c:pt>
                <c:pt idx="44">
                  <c:v>217.5</c:v>
                </c:pt>
                <c:pt idx="45">
                  <c:v>166</c:v>
                </c:pt>
                <c:pt idx="46">
                  <c:v>223</c:v>
                </c:pt>
                <c:pt idx="47">
                  <c:v>224</c:v>
                </c:pt>
                <c:pt idx="48">
                  <c:v>222</c:v>
                </c:pt>
                <c:pt idx="49">
                  <c:v>208.75</c:v>
                </c:pt>
                <c:pt idx="50">
                  <c:v>225</c:v>
                </c:pt>
                <c:pt idx="51">
                  <c:v>223</c:v>
                </c:pt>
                <c:pt idx="52">
                  <c:v>233.5</c:v>
                </c:pt>
                <c:pt idx="53">
                  <c:v>226.5</c:v>
                </c:pt>
                <c:pt idx="54">
                  <c:v>227</c:v>
                </c:pt>
                <c:pt idx="55">
                  <c:v>206.5</c:v>
                </c:pt>
                <c:pt idx="56">
                  <c:v>206</c:v>
                </c:pt>
                <c:pt idx="57">
                  <c:v>197.5</c:v>
                </c:pt>
              </c:numCache>
            </c:numRef>
          </c:val>
          <c:smooth val="0"/>
          <c:extLst>
            <c:ext xmlns:c16="http://schemas.microsoft.com/office/drawing/2014/chart" uri="{C3380CC4-5D6E-409C-BE32-E72D297353CC}">
              <c16:uniqueId val="{00000000-A252-4BDB-88AC-3AA947E6DA15}"/>
            </c:ext>
          </c:extLst>
        </c:ser>
        <c:ser>
          <c:idx val="1"/>
          <c:order val="1"/>
          <c:tx>
            <c:strRef>
              <c:f>Sheet1!$C$2</c:f>
              <c:strCache>
                <c:ptCount val="1"/>
                <c:pt idx="0">
                  <c:v> Last year same week price</c:v>
                </c:pt>
              </c:strCache>
            </c:strRef>
          </c:tx>
          <c:spPr>
            <a:ln w="28575" cap="rnd">
              <a:solidFill>
                <a:schemeClr val="accent2"/>
              </a:solidFill>
              <a:round/>
            </a:ln>
            <a:effectLst/>
          </c:spPr>
          <c:marker>
            <c:symbol val="none"/>
          </c:marker>
          <c:cat>
            <c:numRef>
              <c:f>Sheet1!$A$3:$A$60</c:f>
              <c:numCache>
                <c:formatCode>m/d/yyyy</c:formatCode>
                <c:ptCount val="58"/>
                <c:pt idx="0">
                  <c:v>45780</c:v>
                </c:pt>
                <c:pt idx="1">
                  <c:v>45787</c:v>
                </c:pt>
                <c:pt idx="2">
                  <c:v>45794</c:v>
                </c:pt>
                <c:pt idx="3">
                  <c:v>45801</c:v>
                </c:pt>
                <c:pt idx="4">
                  <c:v>45808</c:v>
                </c:pt>
                <c:pt idx="5">
                  <c:v>45815</c:v>
                </c:pt>
                <c:pt idx="6">
                  <c:v>45822</c:v>
                </c:pt>
                <c:pt idx="7">
                  <c:v>45829</c:v>
                </c:pt>
                <c:pt idx="8">
                  <c:v>45836</c:v>
                </c:pt>
                <c:pt idx="9">
                  <c:v>45843</c:v>
                </c:pt>
                <c:pt idx="10">
                  <c:v>45850</c:v>
                </c:pt>
                <c:pt idx="11">
                  <c:v>45857</c:v>
                </c:pt>
                <c:pt idx="12">
                  <c:v>45864</c:v>
                </c:pt>
                <c:pt idx="13">
                  <c:v>45871</c:v>
                </c:pt>
                <c:pt idx="14">
                  <c:v>45878</c:v>
                </c:pt>
                <c:pt idx="15">
                  <c:v>45885</c:v>
                </c:pt>
                <c:pt idx="16">
                  <c:v>45892</c:v>
                </c:pt>
                <c:pt idx="17">
                  <c:v>45899</c:v>
                </c:pt>
                <c:pt idx="18">
                  <c:v>45906</c:v>
                </c:pt>
                <c:pt idx="19">
                  <c:v>45913</c:v>
                </c:pt>
                <c:pt idx="20">
                  <c:v>45920</c:v>
                </c:pt>
                <c:pt idx="21">
                  <c:v>45927</c:v>
                </c:pt>
                <c:pt idx="22">
                  <c:v>45934</c:v>
                </c:pt>
                <c:pt idx="23">
                  <c:v>45941</c:v>
                </c:pt>
                <c:pt idx="24">
                  <c:v>45948</c:v>
                </c:pt>
                <c:pt idx="25">
                  <c:v>45955</c:v>
                </c:pt>
                <c:pt idx="26">
                  <c:v>45962</c:v>
                </c:pt>
                <c:pt idx="27">
                  <c:v>45976</c:v>
                </c:pt>
                <c:pt idx="28">
                  <c:v>45983</c:v>
                </c:pt>
                <c:pt idx="29">
                  <c:v>45990</c:v>
                </c:pt>
                <c:pt idx="30">
                  <c:v>45997</c:v>
                </c:pt>
                <c:pt idx="31">
                  <c:v>46004</c:v>
                </c:pt>
                <c:pt idx="32">
                  <c:v>46011</c:v>
                </c:pt>
                <c:pt idx="33">
                  <c:v>46018</c:v>
                </c:pt>
                <c:pt idx="34">
                  <c:v>46025</c:v>
                </c:pt>
                <c:pt idx="35">
                  <c:v>46032</c:v>
                </c:pt>
                <c:pt idx="36">
                  <c:v>46039</c:v>
                </c:pt>
                <c:pt idx="37">
                  <c:v>46046</c:v>
                </c:pt>
                <c:pt idx="38">
                  <c:v>46053</c:v>
                </c:pt>
                <c:pt idx="40">
                  <c:v>46060</c:v>
                </c:pt>
                <c:pt idx="41">
                  <c:v>46067</c:v>
                </c:pt>
                <c:pt idx="42">
                  <c:v>46074</c:v>
                </c:pt>
                <c:pt idx="43">
                  <c:v>46081</c:v>
                </c:pt>
                <c:pt idx="45">
                  <c:v>46088</c:v>
                </c:pt>
                <c:pt idx="46">
                  <c:v>46095</c:v>
                </c:pt>
                <c:pt idx="47">
                  <c:v>46102</c:v>
                </c:pt>
                <c:pt idx="48">
                  <c:v>46109</c:v>
                </c:pt>
                <c:pt idx="50">
                  <c:v>46116</c:v>
                </c:pt>
                <c:pt idx="51">
                  <c:v>46123</c:v>
                </c:pt>
                <c:pt idx="52">
                  <c:v>46130</c:v>
                </c:pt>
                <c:pt idx="53">
                  <c:v>46137</c:v>
                </c:pt>
                <c:pt idx="55">
                  <c:v>46144</c:v>
                </c:pt>
                <c:pt idx="56">
                  <c:v>46151</c:v>
                </c:pt>
                <c:pt idx="57">
                  <c:v>46158</c:v>
                </c:pt>
              </c:numCache>
            </c:numRef>
          </c:cat>
          <c:val>
            <c:numRef>
              <c:f>Sheet1!$C$3:$C$60</c:f>
              <c:numCache>
                <c:formatCode>0.00</c:formatCode>
                <c:ptCount val="58"/>
                <c:pt idx="0">
                  <c:v>242.5</c:v>
                </c:pt>
                <c:pt idx="1">
                  <c:v>242.5</c:v>
                </c:pt>
                <c:pt idx="2">
                  <c:v>280</c:v>
                </c:pt>
                <c:pt idx="3">
                  <c:v>280</c:v>
                </c:pt>
                <c:pt idx="4">
                  <c:v>264.5</c:v>
                </c:pt>
                <c:pt idx="5">
                  <c:v>265</c:v>
                </c:pt>
                <c:pt idx="6">
                  <c:v>265</c:v>
                </c:pt>
                <c:pt idx="7">
                  <c:v>264</c:v>
                </c:pt>
                <c:pt idx="8">
                  <c:v>259</c:v>
                </c:pt>
                <c:pt idx="9">
                  <c:v>255.5</c:v>
                </c:pt>
                <c:pt idx="10">
                  <c:v>247</c:v>
                </c:pt>
                <c:pt idx="11">
                  <c:v>250</c:v>
                </c:pt>
                <c:pt idx="12">
                  <c:v>238.5</c:v>
                </c:pt>
                <c:pt idx="13">
                  <c:v>241</c:v>
                </c:pt>
                <c:pt idx="14">
                  <c:v>238.5</c:v>
                </c:pt>
                <c:pt idx="15">
                  <c:v>239.5</c:v>
                </c:pt>
                <c:pt idx="16">
                  <c:v>231</c:v>
                </c:pt>
                <c:pt idx="17">
                  <c:v>231</c:v>
                </c:pt>
                <c:pt idx="18">
                  <c:v>232</c:v>
                </c:pt>
                <c:pt idx="19">
                  <c:v>260.5</c:v>
                </c:pt>
                <c:pt idx="20">
                  <c:v>240</c:v>
                </c:pt>
                <c:pt idx="21">
                  <c:v>244</c:v>
                </c:pt>
                <c:pt idx="22">
                  <c:v>238</c:v>
                </c:pt>
                <c:pt idx="23">
                  <c:v>244.5</c:v>
                </c:pt>
                <c:pt idx="24">
                  <c:v>246.5</c:v>
                </c:pt>
                <c:pt idx="25">
                  <c:v>230.5</c:v>
                </c:pt>
                <c:pt idx="26">
                  <c:v>215</c:v>
                </c:pt>
                <c:pt idx="27">
                  <c:v>231</c:v>
                </c:pt>
                <c:pt idx="28">
                  <c:v>232</c:v>
                </c:pt>
                <c:pt idx="29">
                  <c:v>225</c:v>
                </c:pt>
                <c:pt idx="30">
                  <c:v>225.5</c:v>
                </c:pt>
                <c:pt idx="31">
                  <c:v>229</c:v>
                </c:pt>
                <c:pt idx="32">
                  <c:v>227.5</c:v>
                </c:pt>
                <c:pt idx="33">
                  <c:v>226.5</c:v>
                </c:pt>
                <c:pt idx="34">
                  <c:v>232.5</c:v>
                </c:pt>
                <c:pt idx="35">
                  <c:v>225</c:v>
                </c:pt>
                <c:pt idx="36">
                  <c:v>213</c:v>
                </c:pt>
                <c:pt idx="37">
                  <c:v>217</c:v>
                </c:pt>
                <c:pt idx="38">
                  <c:v>199.5</c:v>
                </c:pt>
                <c:pt idx="39">
                  <c:v>217.4</c:v>
                </c:pt>
                <c:pt idx="40">
                  <c:v>192</c:v>
                </c:pt>
                <c:pt idx="41">
                  <c:v>190</c:v>
                </c:pt>
                <c:pt idx="42">
                  <c:v>202</c:v>
                </c:pt>
                <c:pt idx="43">
                  <c:v>216.5</c:v>
                </c:pt>
                <c:pt idx="44">
                  <c:v>200.125</c:v>
                </c:pt>
                <c:pt idx="45">
                  <c:v>216.5</c:v>
                </c:pt>
                <c:pt idx="46">
                  <c:v>219.5</c:v>
                </c:pt>
                <c:pt idx="47">
                  <c:v>208</c:v>
                </c:pt>
                <c:pt idx="48">
                  <c:v>218</c:v>
                </c:pt>
                <c:pt idx="49">
                  <c:v>215.5</c:v>
                </c:pt>
                <c:pt idx="50">
                  <c:v>229.5</c:v>
                </c:pt>
                <c:pt idx="51">
                  <c:v>255.5</c:v>
                </c:pt>
                <c:pt idx="52">
                  <c:v>240.5</c:v>
                </c:pt>
                <c:pt idx="53">
                  <c:v>224</c:v>
                </c:pt>
                <c:pt idx="54">
                  <c:v>237.375</c:v>
                </c:pt>
                <c:pt idx="55">
                  <c:v>223.5</c:v>
                </c:pt>
                <c:pt idx="56">
                  <c:v>217.5</c:v>
                </c:pt>
                <c:pt idx="57">
                  <c:v>226</c:v>
                </c:pt>
              </c:numCache>
            </c:numRef>
          </c:val>
          <c:smooth val="0"/>
          <c:extLst>
            <c:ext xmlns:c16="http://schemas.microsoft.com/office/drawing/2014/chart" uri="{C3380CC4-5D6E-409C-BE32-E72D297353CC}">
              <c16:uniqueId val="{00000001-A252-4BDB-88AC-3AA947E6DA15}"/>
            </c:ext>
          </c:extLst>
        </c:ser>
        <c:dLbls>
          <c:showLegendKey val="0"/>
          <c:showVal val="0"/>
          <c:showCatName val="0"/>
          <c:showSerName val="0"/>
          <c:showPercent val="0"/>
          <c:showBubbleSize val="0"/>
        </c:dLbls>
        <c:smooth val="0"/>
        <c:axId val="441879384"/>
        <c:axId val="441872328"/>
      </c:lineChart>
      <c:dateAx>
        <c:axId val="441879384"/>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41872328"/>
        <c:crosses val="autoZero"/>
        <c:auto val="1"/>
        <c:lblOffset val="100"/>
        <c:baseTimeUnit val="days"/>
      </c:dateAx>
      <c:valAx>
        <c:axId val="4418723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41879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Sheet1!$F$2</c:f>
              <c:strCache>
                <c:ptCount val="1"/>
                <c:pt idx="0">
                  <c:v>This week price </c:v>
                </c:pt>
              </c:strCache>
            </c:strRef>
          </c:tx>
          <c:spPr>
            <a:ln w="28575" cap="rnd">
              <a:solidFill>
                <a:schemeClr val="accent1"/>
              </a:solidFill>
              <a:round/>
            </a:ln>
            <a:effectLst/>
          </c:spPr>
          <c:marker>
            <c:symbol val="none"/>
          </c:marker>
          <c:cat>
            <c:numRef>
              <c:f>Sheet1!$A$3:$A$60</c:f>
              <c:numCache>
                <c:formatCode>m/d/yyyy</c:formatCode>
                <c:ptCount val="58"/>
                <c:pt idx="0">
                  <c:v>45780</c:v>
                </c:pt>
                <c:pt idx="1">
                  <c:v>45787</c:v>
                </c:pt>
                <c:pt idx="2">
                  <c:v>45794</c:v>
                </c:pt>
                <c:pt idx="3">
                  <c:v>45801</c:v>
                </c:pt>
                <c:pt idx="4">
                  <c:v>45808</c:v>
                </c:pt>
                <c:pt idx="5">
                  <c:v>45815</c:v>
                </c:pt>
                <c:pt idx="6">
                  <c:v>45822</c:v>
                </c:pt>
                <c:pt idx="7">
                  <c:v>45829</c:v>
                </c:pt>
                <c:pt idx="8">
                  <c:v>45836</c:v>
                </c:pt>
                <c:pt idx="9">
                  <c:v>45843</c:v>
                </c:pt>
                <c:pt idx="10">
                  <c:v>45850</c:v>
                </c:pt>
                <c:pt idx="11">
                  <c:v>45857</c:v>
                </c:pt>
                <c:pt idx="12">
                  <c:v>45864</c:v>
                </c:pt>
                <c:pt idx="13">
                  <c:v>45871</c:v>
                </c:pt>
                <c:pt idx="14">
                  <c:v>45878</c:v>
                </c:pt>
                <c:pt idx="15">
                  <c:v>45885</c:v>
                </c:pt>
                <c:pt idx="16">
                  <c:v>45892</c:v>
                </c:pt>
                <c:pt idx="17">
                  <c:v>45899</c:v>
                </c:pt>
                <c:pt idx="18">
                  <c:v>45906</c:v>
                </c:pt>
                <c:pt idx="19">
                  <c:v>45913</c:v>
                </c:pt>
                <c:pt idx="20">
                  <c:v>45920</c:v>
                </c:pt>
                <c:pt idx="21">
                  <c:v>45927</c:v>
                </c:pt>
                <c:pt idx="22">
                  <c:v>45934</c:v>
                </c:pt>
                <c:pt idx="23">
                  <c:v>45941</c:v>
                </c:pt>
                <c:pt idx="24">
                  <c:v>45948</c:v>
                </c:pt>
                <c:pt idx="25">
                  <c:v>45955</c:v>
                </c:pt>
                <c:pt idx="26">
                  <c:v>45962</c:v>
                </c:pt>
                <c:pt idx="27">
                  <c:v>45976</c:v>
                </c:pt>
                <c:pt idx="28">
                  <c:v>45983</c:v>
                </c:pt>
                <c:pt idx="29">
                  <c:v>45990</c:v>
                </c:pt>
                <c:pt idx="30">
                  <c:v>45997</c:v>
                </c:pt>
                <c:pt idx="31">
                  <c:v>46004</c:v>
                </c:pt>
                <c:pt idx="32">
                  <c:v>46011</c:v>
                </c:pt>
                <c:pt idx="33">
                  <c:v>46018</c:v>
                </c:pt>
                <c:pt idx="34">
                  <c:v>46025</c:v>
                </c:pt>
                <c:pt idx="35">
                  <c:v>46032</c:v>
                </c:pt>
                <c:pt idx="36">
                  <c:v>46039</c:v>
                </c:pt>
                <c:pt idx="37">
                  <c:v>46046</c:v>
                </c:pt>
                <c:pt idx="38">
                  <c:v>46053</c:v>
                </c:pt>
                <c:pt idx="40">
                  <c:v>46060</c:v>
                </c:pt>
                <c:pt idx="41">
                  <c:v>46067</c:v>
                </c:pt>
                <c:pt idx="42">
                  <c:v>46074</c:v>
                </c:pt>
                <c:pt idx="43">
                  <c:v>46081</c:v>
                </c:pt>
                <c:pt idx="45">
                  <c:v>46088</c:v>
                </c:pt>
                <c:pt idx="46">
                  <c:v>46095</c:v>
                </c:pt>
                <c:pt idx="47">
                  <c:v>46102</c:v>
                </c:pt>
                <c:pt idx="48">
                  <c:v>46109</c:v>
                </c:pt>
                <c:pt idx="50">
                  <c:v>46116</c:v>
                </c:pt>
                <c:pt idx="51">
                  <c:v>46123</c:v>
                </c:pt>
                <c:pt idx="52">
                  <c:v>46130</c:v>
                </c:pt>
                <c:pt idx="53">
                  <c:v>46137</c:v>
                </c:pt>
                <c:pt idx="55">
                  <c:v>46144</c:v>
                </c:pt>
                <c:pt idx="56">
                  <c:v>46151</c:v>
                </c:pt>
                <c:pt idx="57">
                  <c:v>46158</c:v>
                </c:pt>
              </c:numCache>
            </c:numRef>
          </c:cat>
          <c:val>
            <c:numRef>
              <c:f>Sheet1!$F$3:$F$60</c:f>
              <c:numCache>
                <c:formatCode>0.00</c:formatCode>
                <c:ptCount val="58"/>
                <c:pt idx="0">
                  <c:v>115</c:v>
                </c:pt>
                <c:pt idx="1">
                  <c:v>140</c:v>
                </c:pt>
                <c:pt idx="2">
                  <c:v>160</c:v>
                </c:pt>
                <c:pt idx="3">
                  <c:v>160</c:v>
                </c:pt>
                <c:pt idx="4">
                  <c:v>160</c:v>
                </c:pt>
                <c:pt idx="5">
                  <c:v>140</c:v>
                </c:pt>
                <c:pt idx="6">
                  <c:v>112.5</c:v>
                </c:pt>
                <c:pt idx="7">
                  <c:v>170</c:v>
                </c:pt>
                <c:pt idx="8">
                  <c:v>145</c:v>
                </c:pt>
                <c:pt idx="9">
                  <c:v>157</c:v>
                </c:pt>
                <c:pt idx="10">
                  <c:v>120</c:v>
                </c:pt>
                <c:pt idx="11">
                  <c:v>160</c:v>
                </c:pt>
                <c:pt idx="12">
                  <c:v>215</c:v>
                </c:pt>
                <c:pt idx="13">
                  <c:v>170</c:v>
                </c:pt>
                <c:pt idx="14">
                  <c:v>150</c:v>
                </c:pt>
                <c:pt idx="15">
                  <c:v>125</c:v>
                </c:pt>
                <c:pt idx="16">
                  <c:v>115</c:v>
                </c:pt>
                <c:pt idx="17">
                  <c:v>135</c:v>
                </c:pt>
                <c:pt idx="18">
                  <c:v>115</c:v>
                </c:pt>
                <c:pt idx="19">
                  <c:v>189</c:v>
                </c:pt>
                <c:pt idx="20">
                  <c:v>110</c:v>
                </c:pt>
                <c:pt idx="21">
                  <c:v>130</c:v>
                </c:pt>
                <c:pt idx="22">
                  <c:v>110</c:v>
                </c:pt>
                <c:pt idx="23">
                  <c:v>100</c:v>
                </c:pt>
                <c:pt idx="24">
                  <c:v>100</c:v>
                </c:pt>
                <c:pt idx="25">
                  <c:v>140</c:v>
                </c:pt>
                <c:pt idx="26">
                  <c:v>110</c:v>
                </c:pt>
                <c:pt idx="27">
                  <c:v>110</c:v>
                </c:pt>
                <c:pt idx="28">
                  <c:v>95</c:v>
                </c:pt>
                <c:pt idx="29">
                  <c:v>95</c:v>
                </c:pt>
                <c:pt idx="30">
                  <c:v>100</c:v>
                </c:pt>
                <c:pt idx="31">
                  <c:v>115</c:v>
                </c:pt>
                <c:pt idx="32">
                  <c:v>95</c:v>
                </c:pt>
                <c:pt idx="33">
                  <c:v>115</c:v>
                </c:pt>
                <c:pt idx="34">
                  <c:v>130</c:v>
                </c:pt>
                <c:pt idx="35">
                  <c:v>225</c:v>
                </c:pt>
                <c:pt idx="36">
                  <c:v>115</c:v>
                </c:pt>
                <c:pt idx="37">
                  <c:v>115</c:v>
                </c:pt>
                <c:pt idx="38">
                  <c:v>140</c:v>
                </c:pt>
                <c:pt idx="39">
                  <c:v>145</c:v>
                </c:pt>
                <c:pt idx="40">
                  <c:v>125</c:v>
                </c:pt>
                <c:pt idx="41">
                  <c:v>150</c:v>
                </c:pt>
                <c:pt idx="42">
                  <c:v>160</c:v>
                </c:pt>
                <c:pt idx="43">
                  <c:v>145</c:v>
                </c:pt>
                <c:pt idx="44">
                  <c:v>145</c:v>
                </c:pt>
                <c:pt idx="45">
                  <c:v>125</c:v>
                </c:pt>
                <c:pt idx="46">
                  <c:v>110</c:v>
                </c:pt>
                <c:pt idx="47">
                  <c:v>130</c:v>
                </c:pt>
                <c:pt idx="48">
                  <c:v>175</c:v>
                </c:pt>
                <c:pt idx="49">
                  <c:v>135</c:v>
                </c:pt>
                <c:pt idx="50">
                  <c:v>205</c:v>
                </c:pt>
                <c:pt idx="51">
                  <c:v>240</c:v>
                </c:pt>
                <c:pt idx="52">
                  <c:v>220</c:v>
                </c:pt>
                <c:pt idx="53">
                  <c:v>115</c:v>
                </c:pt>
                <c:pt idx="54">
                  <c:v>195</c:v>
                </c:pt>
                <c:pt idx="55">
                  <c:v>160</c:v>
                </c:pt>
                <c:pt idx="56">
                  <c:v>190</c:v>
                </c:pt>
                <c:pt idx="57">
                  <c:v>150</c:v>
                </c:pt>
              </c:numCache>
            </c:numRef>
          </c:val>
          <c:smooth val="0"/>
          <c:extLst>
            <c:ext xmlns:c16="http://schemas.microsoft.com/office/drawing/2014/chart" uri="{C3380CC4-5D6E-409C-BE32-E72D297353CC}">
              <c16:uniqueId val="{00000000-4407-4611-9504-A33518D00455}"/>
            </c:ext>
          </c:extLst>
        </c:ser>
        <c:ser>
          <c:idx val="1"/>
          <c:order val="1"/>
          <c:tx>
            <c:strRef>
              <c:f>Sheet1!$G$2</c:f>
              <c:strCache>
                <c:ptCount val="1"/>
                <c:pt idx="0">
                  <c:v> Last year same week price</c:v>
                </c:pt>
              </c:strCache>
            </c:strRef>
          </c:tx>
          <c:spPr>
            <a:ln w="28575" cap="rnd">
              <a:solidFill>
                <a:schemeClr val="accent2"/>
              </a:solidFill>
              <a:round/>
            </a:ln>
            <a:effectLst/>
          </c:spPr>
          <c:marker>
            <c:symbol val="none"/>
          </c:marker>
          <c:cat>
            <c:numRef>
              <c:f>Sheet1!$A$3:$A$60</c:f>
              <c:numCache>
                <c:formatCode>m/d/yyyy</c:formatCode>
                <c:ptCount val="58"/>
                <c:pt idx="0">
                  <c:v>45780</c:v>
                </c:pt>
                <c:pt idx="1">
                  <c:v>45787</c:v>
                </c:pt>
                <c:pt idx="2">
                  <c:v>45794</c:v>
                </c:pt>
                <c:pt idx="3">
                  <c:v>45801</c:v>
                </c:pt>
                <c:pt idx="4">
                  <c:v>45808</c:v>
                </c:pt>
                <c:pt idx="5">
                  <c:v>45815</c:v>
                </c:pt>
                <c:pt idx="6">
                  <c:v>45822</c:v>
                </c:pt>
                <c:pt idx="7">
                  <c:v>45829</c:v>
                </c:pt>
                <c:pt idx="8">
                  <c:v>45836</c:v>
                </c:pt>
                <c:pt idx="9">
                  <c:v>45843</c:v>
                </c:pt>
                <c:pt idx="10">
                  <c:v>45850</c:v>
                </c:pt>
                <c:pt idx="11">
                  <c:v>45857</c:v>
                </c:pt>
                <c:pt idx="12">
                  <c:v>45864</c:v>
                </c:pt>
                <c:pt idx="13">
                  <c:v>45871</c:v>
                </c:pt>
                <c:pt idx="14">
                  <c:v>45878</c:v>
                </c:pt>
                <c:pt idx="15">
                  <c:v>45885</c:v>
                </c:pt>
                <c:pt idx="16">
                  <c:v>45892</c:v>
                </c:pt>
                <c:pt idx="17">
                  <c:v>45899</c:v>
                </c:pt>
                <c:pt idx="18">
                  <c:v>45906</c:v>
                </c:pt>
                <c:pt idx="19">
                  <c:v>45913</c:v>
                </c:pt>
                <c:pt idx="20">
                  <c:v>45920</c:v>
                </c:pt>
                <c:pt idx="21">
                  <c:v>45927</c:v>
                </c:pt>
                <c:pt idx="22">
                  <c:v>45934</c:v>
                </c:pt>
                <c:pt idx="23">
                  <c:v>45941</c:v>
                </c:pt>
                <c:pt idx="24">
                  <c:v>45948</c:v>
                </c:pt>
                <c:pt idx="25">
                  <c:v>45955</c:v>
                </c:pt>
                <c:pt idx="26">
                  <c:v>45962</c:v>
                </c:pt>
                <c:pt idx="27">
                  <c:v>45976</c:v>
                </c:pt>
                <c:pt idx="28">
                  <c:v>45983</c:v>
                </c:pt>
                <c:pt idx="29">
                  <c:v>45990</c:v>
                </c:pt>
                <c:pt idx="30">
                  <c:v>45997</c:v>
                </c:pt>
                <c:pt idx="31">
                  <c:v>46004</c:v>
                </c:pt>
                <c:pt idx="32">
                  <c:v>46011</c:v>
                </c:pt>
                <c:pt idx="33">
                  <c:v>46018</c:v>
                </c:pt>
                <c:pt idx="34">
                  <c:v>46025</c:v>
                </c:pt>
                <c:pt idx="35">
                  <c:v>46032</c:v>
                </c:pt>
                <c:pt idx="36">
                  <c:v>46039</c:v>
                </c:pt>
                <c:pt idx="37">
                  <c:v>46046</c:v>
                </c:pt>
                <c:pt idx="38">
                  <c:v>46053</c:v>
                </c:pt>
                <c:pt idx="40">
                  <c:v>46060</c:v>
                </c:pt>
                <c:pt idx="41">
                  <c:v>46067</c:v>
                </c:pt>
                <c:pt idx="42">
                  <c:v>46074</c:v>
                </c:pt>
                <c:pt idx="43">
                  <c:v>46081</c:v>
                </c:pt>
                <c:pt idx="45">
                  <c:v>46088</c:v>
                </c:pt>
                <c:pt idx="46">
                  <c:v>46095</c:v>
                </c:pt>
                <c:pt idx="47">
                  <c:v>46102</c:v>
                </c:pt>
                <c:pt idx="48">
                  <c:v>46109</c:v>
                </c:pt>
                <c:pt idx="50">
                  <c:v>46116</c:v>
                </c:pt>
                <c:pt idx="51">
                  <c:v>46123</c:v>
                </c:pt>
                <c:pt idx="52">
                  <c:v>46130</c:v>
                </c:pt>
                <c:pt idx="53">
                  <c:v>46137</c:v>
                </c:pt>
                <c:pt idx="55">
                  <c:v>46144</c:v>
                </c:pt>
                <c:pt idx="56">
                  <c:v>46151</c:v>
                </c:pt>
                <c:pt idx="57">
                  <c:v>46158</c:v>
                </c:pt>
              </c:numCache>
            </c:numRef>
          </c:cat>
          <c:val>
            <c:numRef>
              <c:f>Sheet1!$G$3:$G$60</c:f>
              <c:numCache>
                <c:formatCode>0.00</c:formatCode>
                <c:ptCount val="58"/>
                <c:pt idx="0">
                  <c:v>215</c:v>
                </c:pt>
                <c:pt idx="1">
                  <c:v>205</c:v>
                </c:pt>
                <c:pt idx="2">
                  <c:v>185</c:v>
                </c:pt>
                <c:pt idx="3">
                  <c:v>180</c:v>
                </c:pt>
                <c:pt idx="4">
                  <c:v>185</c:v>
                </c:pt>
                <c:pt idx="5">
                  <c:v>185</c:v>
                </c:pt>
                <c:pt idx="6">
                  <c:v>185</c:v>
                </c:pt>
                <c:pt idx="7">
                  <c:v>185</c:v>
                </c:pt>
                <c:pt idx="8">
                  <c:v>190</c:v>
                </c:pt>
                <c:pt idx="9">
                  <c:v>180</c:v>
                </c:pt>
                <c:pt idx="10">
                  <c:v>190</c:v>
                </c:pt>
                <c:pt idx="11">
                  <c:v>190</c:v>
                </c:pt>
                <c:pt idx="12">
                  <c:v>160</c:v>
                </c:pt>
                <c:pt idx="13">
                  <c:v>200</c:v>
                </c:pt>
                <c:pt idx="14">
                  <c:v>205</c:v>
                </c:pt>
                <c:pt idx="15">
                  <c:v>235</c:v>
                </c:pt>
                <c:pt idx="16">
                  <c:v>215</c:v>
                </c:pt>
                <c:pt idx="17">
                  <c:v>215</c:v>
                </c:pt>
                <c:pt idx="18">
                  <c:v>180</c:v>
                </c:pt>
                <c:pt idx="19">
                  <c:v>235</c:v>
                </c:pt>
                <c:pt idx="20">
                  <c:v>160</c:v>
                </c:pt>
                <c:pt idx="21">
                  <c:v>160</c:v>
                </c:pt>
                <c:pt idx="22">
                  <c:v>150</c:v>
                </c:pt>
                <c:pt idx="23">
                  <c:v>140</c:v>
                </c:pt>
                <c:pt idx="24">
                  <c:v>95</c:v>
                </c:pt>
                <c:pt idx="25">
                  <c:v>140</c:v>
                </c:pt>
                <c:pt idx="26">
                  <c:v>90</c:v>
                </c:pt>
                <c:pt idx="27">
                  <c:v>50</c:v>
                </c:pt>
                <c:pt idx="28">
                  <c:v>135</c:v>
                </c:pt>
                <c:pt idx="29">
                  <c:v>125</c:v>
                </c:pt>
                <c:pt idx="30">
                  <c:v>90</c:v>
                </c:pt>
                <c:pt idx="31">
                  <c:v>90</c:v>
                </c:pt>
                <c:pt idx="32">
                  <c:v>115</c:v>
                </c:pt>
                <c:pt idx="33">
                  <c:v>122.5</c:v>
                </c:pt>
                <c:pt idx="34">
                  <c:v>122.5</c:v>
                </c:pt>
                <c:pt idx="35">
                  <c:v>122.5</c:v>
                </c:pt>
                <c:pt idx="36">
                  <c:v>122.5</c:v>
                </c:pt>
                <c:pt idx="37">
                  <c:v>110</c:v>
                </c:pt>
                <c:pt idx="38">
                  <c:v>150</c:v>
                </c:pt>
                <c:pt idx="39">
                  <c:v>125.5</c:v>
                </c:pt>
                <c:pt idx="40">
                  <c:v>130</c:v>
                </c:pt>
                <c:pt idx="41">
                  <c:v>110</c:v>
                </c:pt>
                <c:pt idx="42">
                  <c:v>92.5</c:v>
                </c:pt>
                <c:pt idx="43">
                  <c:v>92.5</c:v>
                </c:pt>
                <c:pt idx="44">
                  <c:v>106.25</c:v>
                </c:pt>
                <c:pt idx="45">
                  <c:v>221.5</c:v>
                </c:pt>
                <c:pt idx="46">
                  <c:v>130</c:v>
                </c:pt>
                <c:pt idx="47">
                  <c:v>140</c:v>
                </c:pt>
                <c:pt idx="48">
                  <c:v>222</c:v>
                </c:pt>
                <c:pt idx="49">
                  <c:v>178.375</c:v>
                </c:pt>
                <c:pt idx="50">
                  <c:v>100</c:v>
                </c:pt>
                <c:pt idx="51">
                  <c:v>130</c:v>
                </c:pt>
                <c:pt idx="52">
                  <c:v>115</c:v>
                </c:pt>
                <c:pt idx="53">
                  <c:v>115</c:v>
                </c:pt>
                <c:pt idx="54">
                  <c:v>115</c:v>
                </c:pt>
                <c:pt idx="55">
                  <c:v>115</c:v>
                </c:pt>
                <c:pt idx="56">
                  <c:v>130</c:v>
                </c:pt>
                <c:pt idx="57">
                  <c:v>160</c:v>
                </c:pt>
              </c:numCache>
            </c:numRef>
          </c:val>
          <c:smooth val="0"/>
          <c:extLst>
            <c:ext xmlns:c16="http://schemas.microsoft.com/office/drawing/2014/chart" uri="{C3380CC4-5D6E-409C-BE32-E72D297353CC}">
              <c16:uniqueId val="{00000001-4407-4611-9504-A33518D00455}"/>
            </c:ext>
          </c:extLst>
        </c:ser>
        <c:dLbls>
          <c:showLegendKey val="0"/>
          <c:showVal val="0"/>
          <c:showCatName val="0"/>
          <c:showSerName val="0"/>
          <c:showPercent val="0"/>
          <c:showBubbleSize val="0"/>
        </c:dLbls>
        <c:smooth val="0"/>
        <c:axId val="441878208"/>
        <c:axId val="441874680"/>
      </c:lineChart>
      <c:dateAx>
        <c:axId val="441878208"/>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41874680"/>
        <c:crosses val="autoZero"/>
        <c:auto val="1"/>
        <c:lblOffset val="100"/>
        <c:baseTimeUnit val="days"/>
      </c:dateAx>
      <c:valAx>
        <c:axId val="44187468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41878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Sheet1!$H$2</c:f>
              <c:strCache>
                <c:ptCount val="1"/>
                <c:pt idx="0">
                  <c:v>This week price </c:v>
                </c:pt>
              </c:strCache>
            </c:strRef>
          </c:tx>
          <c:spPr>
            <a:ln w="28575" cap="rnd">
              <a:solidFill>
                <a:schemeClr val="accent1"/>
              </a:solidFill>
              <a:round/>
            </a:ln>
            <a:effectLst/>
          </c:spPr>
          <c:marker>
            <c:symbol val="none"/>
          </c:marker>
          <c:cat>
            <c:numRef>
              <c:f>Sheet1!$A$3:$A$60</c:f>
              <c:numCache>
                <c:formatCode>m/d/yyyy</c:formatCode>
                <c:ptCount val="58"/>
                <c:pt idx="0">
                  <c:v>45780</c:v>
                </c:pt>
                <c:pt idx="1">
                  <c:v>45787</c:v>
                </c:pt>
                <c:pt idx="2">
                  <c:v>45794</c:v>
                </c:pt>
                <c:pt idx="3">
                  <c:v>45801</c:v>
                </c:pt>
                <c:pt idx="4">
                  <c:v>45808</c:v>
                </c:pt>
                <c:pt idx="5">
                  <c:v>45815</c:v>
                </c:pt>
                <c:pt idx="6">
                  <c:v>45822</c:v>
                </c:pt>
                <c:pt idx="7">
                  <c:v>45829</c:v>
                </c:pt>
                <c:pt idx="8">
                  <c:v>45836</c:v>
                </c:pt>
                <c:pt idx="9">
                  <c:v>45843</c:v>
                </c:pt>
                <c:pt idx="10">
                  <c:v>45850</c:v>
                </c:pt>
                <c:pt idx="11">
                  <c:v>45857</c:v>
                </c:pt>
                <c:pt idx="12">
                  <c:v>45864</c:v>
                </c:pt>
                <c:pt idx="13">
                  <c:v>45871</c:v>
                </c:pt>
                <c:pt idx="14">
                  <c:v>45878</c:v>
                </c:pt>
                <c:pt idx="15">
                  <c:v>45885</c:v>
                </c:pt>
                <c:pt idx="16">
                  <c:v>45892</c:v>
                </c:pt>
                <c:pt idx="17">
                  <c:v>45899</c:v>
                </c:pt>
                <c:pt idx="18">
                  <c:v>45906</c:v>
                </c:pt>
                <c:pt idx="19">
                  <c:v>45913</c:v>
                </c:pt>
                <c:pt idx="20">
                  <c:v>45920</c:v>
                </c:pt>
                <c:pt idx="21">
                  <c:v>45927</c:v>
                </c:pt>
                <c:pt idx="22">
                  <c:v>45934</c:v>
                </c:pt>
                <c:pt idx="23">
                  <c:v>45941</c:v>
                </c:pt>
                <c:pt idx="24">
                  <c:v>45948</c:v>
                </c:pt>
                <c:pt idx="25">
                  <c:v>45955</c:v>
                </c:pt>
                <c:pt idx="26">
                  <c:v>45962</c:v>
                </c:pt>
                <c:pt idx="27">
                  <c:v>45976</c:v>
                </c:pt>
                <c:pt idx="28">
                  <c:v>45983</c:v>
                </c:pt>
                <c:pt idx="29">
                  <c:v>45990</c:v>
                </c:pt>
                <c:pt idx="30">
                  <c:v>45997</c:v>
                </c:pt>
                <c:pt idx="31">
                  <c:v>46004</c:v>
                </c:pt>
                <c:pt idx="32">
                  <c:v>46011</c:v>
                </c:pt>
                <c:pt idx="33">
                  <c:v>46018</c:v>
                </c:pt>
                <c:pt idx="34">
                  <c:v>46025</c:v>
                </c:pt>
                <c:pt idx="35">
                  <c:v>46032</c:v>
                </c:pt>
                <c:pt idx="36">
                  <c:v>46039</c:v>
                </c:pt>
                <c:pt idx="37">
                  <c:v>46046</c:v>
                </c:pt>
                <c:pt idx="38">
                  <c:v>46053</c:v>
                </c:pt>
                <c:pt idx="40">
                  <c:v>46060</c:v>
                </c:pt>
                <c:pt idx="41">
                  <c:v>46067</c:v>
                </c:pt>
                <c:pt idx="42">
                  <c:v>46074</c:v>
                </c:pt>
                <c:pt idx="43">
                  <c:v>46081</c:v>
                </c:pt>
                <c:pt idx="45">
                  <c:v>46088</c:v>
                </c:pt>
                <c:pt idx="46">
                  <c:v>46095</c:v>
                </c:pt>
                <c:pt idx="47">
                  <c:v>46102</c:v>
                </c:pt>
                <c:pt idx="48">
                  <c:v>46109</c:v>
                </c:pt>
                <c:pt idx="50">
                  <c:v>46116</c:v>
                </c:pt>
                <c:pt idx="51">
                  <c:v>46123</c:v>
                </c:pt>
                <c:pt idx="52">
                  <c:v>46130</c:v>
                </c:pt>
                <c:pt idx="53">
                  <c:v>46137</c:v>
                </c:pt>
                <c:pt idx="55">
                  <c:v>46144</c:v>
                </c:pt>
                <c:pt idx="56">
                  <c:v>46151</c:v>
                </c:pt>
                <c:pt idx="57">
                  <c:v>46158</c:v>
                </c:pt>
              </c:numCache>
            </c:numRef>
          </c:cat>
          <c:val>
            <c:numRef>
              <c:f>Sheet1!$H$3:$H$60</c:f>
              <c:numCache>
                <c:formatCode>0.00</c:formatCode>
                <c:ptCount val="58"/>
                <c:pt idx="0">
                  <c:v>100</c:v>
                </c:pt>
                <c:pt idx="1">
                  <c:v>120</c:v>
                </c:pt>
                <c:pt idx="2">
                  <c:v>142.5</c:v>
                </c:pt>
                <c:pt idx="3">
                  <c:v>117.5</c:v>
                </c:pt>
                <c:pt idx="4">
                  <c:v>102.5</c:v>
                </c:pt>
                <c:pt idx="5">
                  <c:v>107.5</c:v>
                </c:pt>
                <c:pt idx="6">
                  <c:v>115</c:v>
                </c:pt>
                <c:pt idx="7">
                  <c:v>97.5</c:v>
                </c:pt>
                <c:pt idx="8">
                  <c:v>137.5</c:v>
                </c:pt>
                <c:pt idx="9">
                  <c:v>160</c:v>
                </c:pt>
                <c:pt idx="10">
                  <c:v>160</c:v>
                </c:pt>
                <c:pt idx="11">
                  <c:v>120</c:v>
                </c:pt>
                <c:pt idx="12">
                  <c:v>100</c:v>
                </c:pt>
                <c:pt idx="13">
                  <c:v>150</c:v>
                </c:pt>
                <c:pt idx="14">
                  <c:v>150</c:v>
                </c:pt>
                <c:pt idx="15">
                  <c:v>150</c:v>
                </c:pt>
                <c:pt idx="16">
                  <c:v>130</c:v>
                </c:pt>
                <c:pt idx="17">
                  <c:v>150</c:v>
                </c:pt>
                <c:pt idx="18">
                  <c:v>130</c:v>
                </c:pt>
                <c:pt idx="19">
                  <c:v>115</c:v>
                </c:pt>
                <c:pt idx="20">
                  <c:v>120</c:v>
                </c:pt>
                <c:pt idx="21">
                  <c:v>155</c:v>
                </c:pt>
                <c:pt idx="22">
                  <c:v>220</c:v>
                </c:pt>
                <c:pt idx="23">
                  <c:v>220</c:v>
                </c:pt>
                <c:pt idx="24">
                  <c:v>200</c:v>
                </c:pt>
                <c:pt idx="25">
                  <c:v>160</c:v>
                </c:pt>
                <c:pt idx="26">
                  <c:v>200</c:v>
                </c:pt>
                <c:pt idx="27">
                  <c:v>145</c:v>
                </c:pt>
                <c:pt idx="28">
                  <c:v>130</c:v>
                </c:pt>
                <c:pt idx="29">
                  <c:v>175</c:v>
                </c:pt>
                <c:pt idx="30">
                  <c:v>125</c:v>
                </c:pt>
                <c:pt idx="31">
                  <c:v>135</c:v>
                </c:pt>
                <c:pt idx="32">
                  <c:v>170</c:v>
                </c:pt>
                <c:pt idx="33">
                  <c:v>220</c:v>
                </c:pt>
                <c:pt idx="34">
                  <c:v>230</c:v>
                </c:pt>
                <c:pt idx="35">
                  <c:v>230</c:v>
                </c:pt>
                <c:pt idx="36">
                  <c:v>215</c:v>
                </c:pt>
                <c:pt idx="37">
                  <c:v>240</c:v>
                </c:pt>
                <c:pt idx="38">
                  <c:v>235</c:v>
                </c:pt>
                <c:pt idx="39">
                  <c:v>230</c:v>
                </c:pt>
                <c:pt idx="40">
                  <c:v>195</c:v>
                </c:pt>
                <c:pt idx="41">
                  <c:v>170</c:v>
                </c:pt>
                <c:pt idx="42">
                  <c:v>145</c:v>
                </c:pt>
                <c:pt idx="43">
                  <c:v>155</c:v>
                </c:pt>
                <c:pt idx="44">
                  <c:v>166.25</c:v>
                </c:pt>
                <c:pt idx="45">
                  <c:v>175</c:v>
                </c:pt>
                <c:pt idx="46">
                  <c:v>215</c:v>
                </c:pt>
                <c:pt idx="47">
                  <c:v>215</c:v>
                </c:pt>
                <c:pt idx="48">
                  <c:v>185</c:v>
                </c:pt>
                <c:pt idx="49">
                  <c:v>197.5</c:v>
                </c:pt>
                <c:pt idx="50">
                  <c:v>150</c:v>
                </c:pt>
                <c:pt idx="51">
                  <c:v>132.5</c:v>
                </c:pt>
                <c:pt idx="52">
                  <c:v>155</c:v>
                </c:pt>
                <c:pt idx="53">
                  <c:v>100</c:v>
                </c:pt>
                <c:pt idx="54">
                  <c:v>134.375</c:v>
                </c:pt>
                <c:pt idx="55">
                  <c:v>160</c:v>
                </c:pt>
                <c:pt idx="56">
                  <c:v>150</c:v>
                </c:pt>
                <c:pt idx="57">
                  <c:v>135</c:v>
                </c:pt>
              </c:numCache>
            </c:numRef>
          </c:val>
          <c:smooth val="0"/>
          <c:extLst>
            <c:ext xmlns:c16="http://schemas.microsoft.com/office/drawing/2014/chart" uri="{C3380CC4-5D6E-409C-BE32-E72D297353CC}">
              <c16:uniqueId val="{00000000-6CF3-4D3D-8B46-9A890C232FEB}"/>
            </c:ext>
          </c:extLst>
        </c:ser>
        <c:ser>
          <c:idx val="1"/>
          <c:order val="1"/>
          <c:tx>
            <c:strRef>
              <c:f>Sheet1!$I$2</c:f>
              <c:strCache>
                <c:ptCount val="1"/>
                <c:pt idx="0">
                  <c:v> Last year same week price</c:v>
                </c:pt>
              </c:strCache>
            </c:strRef>
          </c:tx>
          <c:spPr>
            <a:ln w="28575" cap="rnd">
              <a:solidFill>
                <a:schemeClr val="accent2"/>
              </a:solidFill>
              <a:round/>
            </a:ln>
            <a:effectLst/>
          </c:spPr>
          <c:marker>
            <c:symbol val="none"/>
          </c:marker>
          <c:cat>
            <c:numRef>
              <c:f>Sheet1!$A$3:$A$60</c:f>
              <c:numCache>
                <c:formatCode>m/d/yyyy</c:formatCode>
                <c:ptCount val="58"/>
                <c:pt idx="0">
                  <c:v>45780</c:v>
                </c:pt>
                <c:pt idx="1">
                  <c:v>45787</c:v>
                </c:pt>
                <c:pt idx="2">
                  <c:v>45794</c:v>
                </c:pt>
                <c:pt idx="3">
                  <c:v>45801</c:v>
                </c:pt>
                <c:pt idx="4">
                  <c:v>45808</c:v>
                </c:pt>
                <c:pt idx="5">
                  <c:v>45815</c:v>
                </c:pt>
                <c:pt idx="6">
                  <c:v>45822</c:v>
                </c:pt>
                <c:pt idx="7">
                  <c:v>45829</c:v>
                </c:pt>
                <c:pt idx="8">
                  <c:v>45836</c:v>
                </c:pt>
                <c:pt idx="9">
                  <c:v>45843</c:v>
                </c:pt>
                <c:pt idx="10">
                  <c:v>45850</c:v>
                </c:pt>
                <c:pt idx="11">
                  <c:v>45857</c:v>
                </c:pt>
                <c:pt idx="12">
                  <c:v>45864</c:v>
                </c:pt>
                <c:pt idx="13">
                  <c:v>45871</c:v>
                </c:pt>
                <c:pt idx="14">
                  <c:v>45878</c:v>
                </c:pt>
                <c:pt idx="15">
                  <c:v>45885</c:v>
                </c:pt>
                <c:pt idx="16">
                  <c:v>45892</c:v>
                </c:pt>
                <c:pt idx="17">
                  <c:v>45899</c:v>
                </c:pt>
                <c:pt idx="18">
                  <c:v>45906</c:v>
                </c:pt>
                <c:pt idx="19">
                  <c:v>45913</c:v>
                </c:pt>
                <c:pt idx="20">
                  <c:v>45920</c:v>
                </c:pt>
                <c:pt idx="21">
                  <c:v>45927</c:v>
                </c:pt>
                <c:pt idx="22">
                  <c:v>45934</c:v>
                </c:pt>
                <c:pt idx="23">
                  <c:v>45941</c:v>
                </c:pt>
                <c:pt idx="24">
                  <c:v>45948</c:v>
                </c:pt>
                <c:pt idx="25">
                  <c:v>45955</c:v>
                </c:pt>
                <c:pt idx="26">
                  <c:v>45962</c:v>
                </c:pt>
                <c:pt idx="27">
                  <c:v>45976</c:v>
                </c:pt>
                <c:pt idx="28">
                  <c:v>45983</c:v>
                </c:pt>
                <c:pt idx="29">
                  <c:v>45990</c:v>
                </c:pt>
                <c:pt idx="30">
                  <c:v>45997</c:v>
                </c:pt>
                <c:pt idx="31">
                  <c:v>46004</c:v>
                </c:pt>
                <c:pt idx="32">
                  <c:v>46011</c:v>
                </c:pt>
                <c:pt idx="33">
                  <c:v>46018</c:v>
                </c:pt>
                <c:pt idx="34">
                  <c:v>46025</c:v>
                </c:pt>
                <c:pt idx="35">
                  <c:v>46032</c:v>
                </c:pt>
                <c:pt idx="36">
                  <c:v>46039</c:v>
                </c:pt>
                <c:pt idx="37">
                  <c:v>46046</c:v>
                </c:pt>
                <c:pt idx="38">
                  <c:v>46053</c:v>
                </c:pt>
                <c:pt idx="40">
                  <c:v>46060</c:v>
                </c:pt>
                <c:pt idx="41">
                  <c:v>46067</c:v>
                </c:pt>
                <c:pt idx="42">
                  <c:v>46074</c:v>
                </c:pt>
                <c:pt idx="43">
                  <c:v>46081</c:v>
                </c:pt>
                <c:pt idx="45">
                  <c:v>46088</c:v>
                </c:pt>
                <c:pt idx="46">
                  <c:v>46095</c:v>
                </c:pt>
                <c:pt idx="47">
                  <c:v>46102</c:v>
                </c:pt>
                <c:pt idx="48">
                  <c:v>46109</c:v>
                </c:pt>
                <c:pt idx="50">
                  <c:v>46116</c:v>
                </c:pt>
                <c:pt idx="51">
                  <c:v>46123</c:v>
                </c:pt>
                <c:pt idx="52">
                  <c:v>46130</c:v>
                </c:pt>
                <c:pt idx="53">
                  <c:v>46137</c:v>
                </c:pt>
                <c:pt idx="55">
                  <c:v>46144</c:v>
                </c:pt>
                <c:pt idx="56">
                  <c:v>46151</c:v>
                </c:pt>
                <c:pt idx="57">
                  <c:v>46158</c:v>
                </c:pt>
              </c:numCache>
            </c:numRef>
          </c:cat>
          <c:val>
            <c:numRef>
              <c:f>Sheet1!$I$3:$I$60</c:f>
              <c:numCache>
                <c:formatCode>0.00</c:formatCode>
                <c:ptCount val="58"/>
                <c:pt idx="0">
                  <c:v>102.5</c:v>
                </c:pt>
                <c:pt idx="1">
                  <c:v>102.5</c:v>
                </c:pt>
                <c:pt idx="2">
                  <c:v>130</c:v>
                </c:pt>
                <c:pt idx="3">
                  <c:v>130</c:v>
                </c:pt>
                <c:pt idx="4">
                  <c:v>135</c:v>
                </c:pt>
                <c:pt idx="5">
                  <c:v>135</c:v>
                </c:pt>
                <c:pt idx="6">
                  <c:v>155</c:v>
                </c:pt>
                <c:pt idx="7">
                  <c:v>165</c:v>
                </c:pt>
                <c:pt idx="8">
                  <c:v>135</c:v>
                </c:pt>
                <c:pt idx="9">
                  <c:v>125</c:v>
                </c:pt>
                <c:pt idx="10">
                  <c:v>110</c:v>
                </c:pt>
                <c:pt idx="11">
                  <c:v>120</c:v>
                </c:pt>
                <c:pt idx="12">
                  <c:v>125</c:v>
                </c:pt>
                <c:pt idx="13">
                  <c:v>150</c:v>
                </c:pt>
                <c:pt idx="14">
                  <c:v>160</c:v>
                </c:pt>
                <c:pt idx="15">
                  <c:v>155</c:v>
                </c:pt>
                <c:pt idx="16">
                  <c:v>130</c:v>
                </c:pt>
                <c:pt idx="17">
                  <c:v>130</c:v>
                </c:pt>
                <c:pt idx="18">
                  <c:v>110</c:v>
                </c:pt>
                <c:pt idx="19">
                  <c:v>160</c:v>
                </c:pt>
                <c:pt idx="20">
                  <c:v>110</c:v>
                </c:pt>
                <c:pt idx="21">
                  <c:v>110</c:v>
                </c:pt>
                <c:pt idx="22">
                  <c:v>110</c:v>
                </c:pt>
                <c:pt idx="23">
                  <c:v>120</c:v>
                </c:pt>
                <c:pt idx="24">
                  <c:v>100</c:v>
                </c:pt>
                <c:pt idx="25">
                  <c:v>110</c:v>
                </c:pt>
                <c:pt idx="26">
                  <c:v>110</c:v>
                </c:pt>
                <c:pt idx="27">
                  <c:v>107.5</c:v>
                </c:pt>
                <c:pt idx="28">
                  <c:v>107.5</c:v>
                </c:pt>
                <c:pt idx="29">
                  <c:v>110</c:v>
                </c:pt>
                <c:pt idx="30">
                  <c:v>190</c:v>
                </c:pt>
                <c:pt idx="31">
                  <c:v>150</c:v>
                </c:pt>
                <c:pt idx="32">
                  <c:v>155</c:v>
                </c:pt>
                <c:pt idx="33">
                  <c:v>80</c:v>
                </c:pt>
                <c:pt idx="34">
                  <c:v>90</c:v>
                </c:pt>
                <c:pt idx="35">
                  <c:v>82.5</c:v>
                </c:pt>
                <c:pt idx="36">
                  <c:v>82.5</c:v>
                </c:pt>
                <c:pt idx="37">
                  <c:v>90</c:v>
                </c:pt>
                <c:pt idx="38">
                  <c:v>90</c:v>
                </c:pt>
                <c:pt idx="39">
                  <c:v>87</c:v>
                </c:pt>
                <c:pt idx="40">
                  <c:v>85</c:v>
                </c:pt>
                <c:pt idx="41">
                  <c:v>122.5</c:v>
                </c:pt>
                <c:pt idx="42">
                  <c:v>130</c:v>
                </c:pt>
                <c:pt idx="43">
                  <c:v>130</c:v>
                </c:pt>
                <c:pt idx="44">
                  <c:v>116.875</c:v>
                </c:pt>
                <c:pt idx="45">
                  <c:v>110</c:v>
                </c:pt>
                <c:pt idx="46">
                  <c:v>80</c:v>
                </c:pt>
                <c:pt idx="47">
                  <c:v>82.5</c:v>
                </c:pt>
                <c:pt idx="48">
                  <c:v>135</c:v>
                </c:pt>
                <c:pt idx="49">
                  <c:v>101.875</c:v>
                </c:pt>
                <c:pt idx="50">
                  <c:v>85</c:v>
                </c:pt>
                <c:pt idx="51">
                  <c:v>220</c:v>
                </c:pt>
                <c:pt idx="52">
                  <c:v>100</c:v>
                </c:pt>
                <c:pt idx="53">
                  <c:v>100</c:v>
                </c:pt>
                <c:pt idx="54">
                  <c:v>126.25</c:v>
                </c:pt>
                <c:pt idx="55">
                  <c:v>100</c:v>
                </c:pt>
                <c:pt idx="56">
                  <c:v>120</c:v>
                </c:pt>
                <c:pt idx="57">
                  <c:v>142.5</c:v>
                </c:pt>
              </c:numCache>
            </c:numRef>
          </c:val>
          <c:smooth val="0"/>
          <c:extLst>
            <c:ext xmlns:c16="http://schemas.microsoft.com/office/drawing/2014/chart" uri="{C3380CC4-5D6E-409C-BE32-E72D297353CC}">
              <c16:uniqueId val="{00000001-6CF3-4D3D-8B46-9A890C232FEB}"/>
            </c:ext>
          </c:extLst>
        </c:ser>
        <c:dLbls>
          <c:showLegendKey val="0"/>
          <c:showVal val="0"/>
          <c:showCatName val="0"/>
          <c:showSerName val="0"/>
          <c:showPercent val="0"/>
          <c:showBubbleSize val="0"/>
        </c:dLbls>
        <c:smooth val="0"/>
        <c:axId val="441878600"/>
        <c:axId val="440114896"/>
      </c:lineChart>
      <c:dateAx>
        <c:axId val="441878600"/>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40114896"/>
        <c:crosses val="autoZero"/>
        <c:auto val="1"/>
        <c:lblOffset val="100"/>
        <c:baseTimeUnit val="days"/>
      </c:dateAx>
      <c:valAx>
        <c:axId val="4401148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41878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Sheet1!$B$79</c:f>
              <c:strCache>
                <c:ptCount val="1"/>
                <c:pt idx="0">
                  <c:v>Cumin</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numRef>
              <c:f>Sheet1!$A$80:$A$101</c:f>
              <c:numCache>
                <c:formatCode>m/d/yyyy</c:formatCode>
                <c:ptCount val="22"/>
                <c:pt idx="0">
                  <c:v>46025</c:v>
                </c:pt>
                <c:pt idx="1">
                  <c:v>46032</c:v>
                </c:pt>
                <c:pt idx="2">
                  <c:v>46039</c:v>
                </c:pt>
                <c:pt idx="3">
                  <c:v>46046</c:v>
                </c:pt>
                <c:pt idx="4">
                  <c:v>46053</c:v>
                </c:pt>
                <c:pt idx="5">
                  <c:v>46060</c:v>
                </c:pt>
                <c:pt idx="6">
                  <c:v>46067</c:v>
                </c:pt>
                <c:pt idx="7">
                  <c:v>46074</c:v>
                </c:pt>
                <c:pt idx="8">
                  <c:v>46081</c:v>
                </c:pt>
                <c:pt idx="9">
                  <c:v>46088</c:v>
                </c:pt>
                <c:pt idx="10">
                  <c:v>46095</c:v>
                </c:pt>
                <c:pt idx="11">
                  <c:v>46102</c:v>
                </c:pt>
                <c:pt idx="12">
                  <c:v>46109</c:v>
                </c:pt>
                <c:pt idx="13">
                  <c:v>46116</c:v>
                </c:pt>
                <c:pt idx="14">
                  <c:v>46123</c:v>
                </c:pt>
                <c:pt idx="15">
                  <c:v>46130</c:v>
                </c:pt>
                <c:pt idx="16">
                  <c:v>46137</c:v>
                </c:pt>
                <c:pt idx="17">
                  <c:v>46144</c:v>
                </c:pt>
                <c:pt idx="18">
                  <c:v>46151</c:v>
                </c:pt>
                <c:pt idx="19">
                  <c:v>46158</c:v>
                </c:pt>
                <c:pt idx="20">
                  <c:v>46165</c:v>
                </c:pt>
                <c:pt idx="21">
                  <c:v>46172</c:v>
                </c:pt>
              </c:numCache>
            </c:numRef>
          </c:cat>
          <c:val>
            <c:numRef>
              <c:f>Sheet1!$B$80:$B$101</c:f>
              <c:numCache>
                <c:formatCode>0.00</c:formatCode>
                <c:ptCount val="22"/>
                <c:pt idx="0">
                  <c:v>203</c:v>
                </c:pt>
                <c:pt idx="1">
                  <c:v>203.5</c:v>
                </c:pt>
                <c:pt idx="2">
                  <c:v>234</c:v>
                </c:pt>
                <c:pt idx="3">
                  <c:v>208</c:v>
                </c:pt>
                <c:pt idx="4">
                  <c:v>222</c:v>
                </c:pt>
                <c:pt idx="5">
                  <c:v>208.5</c:v>
                </c:pt>
                <c:pt idx="6">
                  <c:v>214.5</c:v>
                </c:pt>
                <c:pt idx="7">
                  <c:v>220</c:v>
                </c:pt>
                <c:pt idx="8">
                  <c:v>227</c:v>
                </c:pt>
                <c:pt idx="9">
                  <c:v>166</c:v>
                </c:pt>
                <c:pt idx="10">
                  <c:v>223</c:v>
                </c:pt>
                <c:pt idx="11">
                  <c:v>224</c:v>
                </c:pt>
                <c:pt idx="12">
                  <c:v>222</c:v>
                </c:pt>
                <c:pt idx="13">
                  <c:v>225</c:v>
                </c:pt>
                <c:pt idx="14">
                  <c:v>223</c:v>
                </c:pt>
                <c:pt idx="15">
                  <c:v>233.5</c:v>
                </c:pt>
                <c:pt idx="16">
                  <c:v>226.5</c:v>
                </c:pt>
                <c:pt idx="17">
                  <c:v>206.5</c:v>
                </c:pt>
                <c:pt idx="18">
                  <c:v>206</c:v>
                </c:pt>
                <c:pt idx="19">
                  <c:v>197.5</c:v>
                </c:pt>
                <c:pt idx="20">
                  <c:v>196.5</c:v>
                </c:pt>
                <c:pt idx="21">
                  <c:v>185.5</c:v>
                </c:pt>
              </c:numCache>
            </c:numRef>
          </c:val>
          <c:smooth val="0"/>
          <c:extLst>
            <c:ext xmlns:c16="http://schemas.microsoft.com/office/drawing/2014/chart" uri="{C3380CC4-5D6E-409C-BE32-E72D297353CC}">
              <c16:uniqueId val="{00000000-16EA-4F61-8D89-48D49E0A0E81}"/>
            </c:ext>
          </c:extLst>
        </c:ser>
        <c:ser>
          <c:idx val="1"/>
          <c:order val="1"/>
          <c:tx>
            <c:strRef>
              <c:f>Sheet1!$C$79</c:f>
              <c:strCache>
                <c:ptCount val="1"/>
                <c:pt idx="0">
                  <c:v>Coriander</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numRef>
              <c:f>Sheet1!$A$80:$A$101</c:f>
              <c:numCache>
                <c:formatCode>m/d/yyyy</c:formatCode>
                <c:ptCount val="22"/>
                <c:pt idx="0">
                  <c:v>46025</c:v>
                </c:pt>
                <c:pt idx="1">
                  <c:v>46032</c:v>
                </c:pt>
                <c:pt idx="2">
                  <c:v>46039</c:v>
                </c:pt>
                <c:pt idx="3">
                  <c:v>46046</c:v>
                </c:pt>
                <c:pt idx="4">
                  <c:v>46053</c:v>
                </c:pt>
                <c:pt idx="5">
                  <c:v>46060</c:v>
                </c:pt>
                <c:pt idx="6">
                  <c:v>46067</c:v>
                </c:pt>
                <c:pt idx="7">
                  <c:v>46074</c:v>
                </c:pt>
                <c:pt idx="8">
                  <c:v>46081</c:v>
                </c:pt>
                <c:pt idx="9">
                  <c:v>46088</c:v>
                </c:pt>
                <c:pt idx="10">
                  <c:v>46095</c:v>
                </c:pt>
                <c:pt idx="11">
                  <c:v>46102</c:v>
                </c:pt>
                <c:pt idx="12">
                  <c:v>46109</c:v>
                </c:pt>
                <c:pt idx="13">
                  <c:v>46116</c:v>
                </c:pt>
                <c:pt idx="14">
                  <c:v>46123</c:v>
                </c:pt>
                <c:pt idx="15">
                  <c:v>46130</c:v>
                </c:pt>
                <c:pt idx="16">
                  <c:v>46137</c:v>
                </c:pt>
                <c:pt idx="17">
                  <c:v>46144</c:v>
                </c:pt>
                <c:pt idx="18">
                  <c:v>46151</c:v>
                </c:pt>
                <c:pt idx="19">
                  <c:v>46158</c:v>
                </c:pt>
                <c:pt idx="20">
                  <c:v>46165</c:v>
                </c:pt>
                <c:pt idx="21">
                  <c:v>46172</c:v>
                </c:pt>
              </c:numCache>
            </c:numRef>
          </c:cat>
          <c:val>
            <c:numRef>
              <c:f>Sheet1!$C$80:$C$101</c:f>
              <c:numCache>
                <c:formatCode>0.00</c:formatCode>
                <c:ptCount val="22"/>
                <c:pt idx="0">
                  <c:v>84.5</c:v>
                </c:pt>
                <c:pt idx="1">
                  <c:v>86</c:v>
                </c:pt>
                <c:pt idx="2">
                  <c:v>84.5</c:v>
                </c:pt>
                <c:pt idx="3">
                  <c:v>85</c:v>
                </c:pt>
                <c:pt idx="4">
                  <c:v>87</c:v>
                </c:pt>
                <c:pt idx="5">
                  <c:v>88</c:v>
                </c:pt>
                <c:pt idx="6">
                  <c:v>81.5</c:v>
                </c:pt>
                <c:pt idx="7">
                  <c:v>81</c:v>
                </c:pt>
                <c:pt idx="8">
                  <c:v>93</c:v>
                </c:pt>
                <c:pt idx="9">
                  <c:v>111</c:v>
                </c:pt>
                <c:pt idx="10">
                  <c:v>126.5</c:v>
                </c:pt>
                <c:pt idx="11">
                  <c:v>144</c:v>
                </c:pt>
                <c:pt idx="12">
                  <c:v>131.5</c:v>
                </c:pt>
                <c:pt idx="13">
                  <c:v>136</c:v>
                </c:pt>
                <c:pt idx="14">
                  <c:v>136.5</c:v>
                </c:pt>
                <c:pt idx="15">
                  <c:v>130.5</c:v>
                </c:pt>
                <c:pt idx="16">
                  <c:v>136</c:v>
                </c:pt>
                <c:pt idx="17">
                  <c:v>131.5</c:v>
                </c:pt>
                <c:pt idx="18">
                  <c:v>129</c:v>
                </c:pt>
                <c:pt idx="19">
                  <c:v>126</c:v>
                </c:pt>
                <c:pt idx="20">
                  <c:v>132</c:v>
                </c:pt>
                <c:pt idx="21">
                  <c:v>126</c:v>
                </c:pt>
              </c:numCache>
            </c:numRef>
          </c:val>
          <c:smooth val="0"/>
          <c:extLst>
            <c:ext xmlns:c16="http://schemas.microsoft.com/office/drawing/2014/chart" uri="{C3380CC4-5D6E-409C-BE32-E72D297353CC}">
              <c16:uniqueId val="{00000001-16EA-4F61-8D89-48D49E0A0E81}"/>
            </c:ext>
          </c:extLst>
        </c:ser>
        <c:ser>
          <c:idx val="2"/>
          <c:order val="2"/>
          <c:tx>
            <c:strRef>
              <c:f>Sheet1!$D$79</c:f>
              <c:strCache>
                <c:ptCount val="1"/>
                <c:pt idx="0">
                  <c:v>Fennel</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numRef>
              <c:f>Sheet1!$A$80:$A$101</c:f>
              <c:numCache>
                <c:formatCode>m/d/yyyy</c:formatCode>
                <c:ptCount val="22"/>
                <c:pt idx="0">
                  <c:v>46025</c:v>
                </c:pt>
                <c:pt idx="1">
                  <c:v>46032</c:v>
                </c:pt>
                <c:pt idx="2">
                  <c:v>46039</c:v>
                </c:pt>
                <c:pt idx="3">
                  <c:v>46046</c:v>
                </c:pt>
                <c:pt idx="4">
                  <c:v>46053</c:v>
                </c:pt>
                <c:pt idx="5">
                  <c:v>46060</c:v>
                </c:pt>
                <c:pt idx="6">
                  <c:v>46067</c:v>
                </c:pt>
                <c:pt idx="7">
                  <c:v>46074</c:v>
                </c:pt>
                <c:pt idx="8">
                  <c:v>46081</c:v>
                </c:pt>
                <c:pt idx="9">
                  <c:v>46088</c:v>
                </c:pt>
                <c:pt idx="10">
                  <c:v>46095</c:v>
                </c:pt>
                <c:pt idx="11">
                  <c:v>46102</c:v>
                </c:pt>
                <c:pt idx="12">
                  <c:v>46109</c:v>
                </c:pt>
                <c:pt idx="13">
                  <c:v>46116</c:v>
                </c:pt>
                <c:pt idx="14">
                  <c:v>46123</c:v>
                </c:pt>
                <c:pt idx="15">
                  <c:v>46130</c:v>
                </c:pt>
                <c:pt idx="16">
                  <c:v>46137</c:v>
                </c:pt>
                <c:pt idx="17">
                  <c:v>46144</c:v>
                </c:pt>
                <c:pt idx="18">
                  <c:v>46151</c:v>
                </c:pt>
                <c:pt idx="19">
                  <c:v>46158</c:v>
                </c:pt>
                <c:pt idx="20">
                  <c:v>46165</c:v>
                </c:pt>
                <c:pt idx="21">
                  <c:v>46172</c:v>
                </c:pt>
              </c:numCache>
            </c:numRef>
          </c:cat>
          <c:val>
            <c:numRef>
              <c:f>Sheet1!$D$80:$D$101</c:f>
              <c:numCache>
                <c:formatCode>0.00</c:formatCode>
                <c:ptCount val="22"/>
                <c:pt idx="0">
                  <c:v>130</c:v>
                </c:pt>
                <c:pt idx="1">
                  <c:v>225</c:v>
                </c:pt>
                <c:pt idx="2">
                  <c:v>115</c:v>
                </c:pt>
                <c:pt idx="3">
                  <c:v>115</c:v>
                </c:pt>
                <c:pt idx="4">
                  <c:v>140</c:v>
                </c:pt>
                <c:pt idx="5">
                  <c:v>125</c:v>
                </c:pt>
                <c:pt idx="6">
                  <c:v>150</c:v>
                </c:pt>
                <c:pt idx="7">
                  <c:v>160</c:v>
                </c:pt>
                <c:pt idx="8">
                  <c:v>145</c:v>
                </c:pt>
                <c:pt idx="9">
                  <c:v>125</c:v>
                </c:pt>
                <c:pt idx="10">
                  <c:v>110</c:v>
                </c:pt>
                <c:pt idx="11">
                  <c:v>130</c:v>
                </c:pt>
                <c:pt idx="12">
                  <c:v>175</c:v>
                </c:pt>
                <c:pt idx="13">
                  <c:v>205</c:v>
                </c:pt>
                <c:pt idx="14">
                  <c:v>240</c:v>
                </c:pt>
                <c:pt idx="15">
                  <c:v>220</c:v>
                </c:pt>
                <c:pt idx="16">
                  <c:v>115</c:v>
                </c:pt>
                <c:pt idx="17">
                  <c:v>160</c:v>
                </c:pt>
                <c:pt idx="18">
                  <c:v>190</c:v>
                </c:pt>
                <c:pt idx="19">
                  <c:v>150</c:v>
                </c:pt>
                <c:pt idx="20">
                  <c:v>125</c:v>
                </c:pt>
                <c:pt idx="21">
                  <c:v>120</c:v>
                </c:pt>
              </c:numCache>
            </c:numRef>
          </c:val>
          <c:smooth val="0"/>
          <c:extLst>
            <c:ext xmlns:c16="http://schemas.microsoft.com/office/drawing/2014/chart" uri="{C3380CC4-5D6E-409C-BE32-E72D297353CC}">
              <c16:uniqueId val="{00000002-16EA-4F61-8D89-48D49E0A0E81}"/>
            </c:ext>
          </c:extLst>
        </c:ser>
        <c:ser>
          <c:idx val="3"/>
          <c:order val="3"/>
          <c:tx>
            <c:strRef>
              <c:f>Sheet1!$E$79</c:f>
              <c:strCache>
                <c:ptCount val="1"/>
                <c:pt idx="0">
                  <c:v>Fenugreek</c:v>
                </c:pt>
              </c:strCache>
            </c:strRef>
          </c:tx>
          <c:spPr>
            <a:ln w="22225" cap="rnd">
              <a:solidFill>
                <a:schemeClr val="accent4"/>
              </a:solidFill>
              <a:round/>
            </a:ln>
            <a:effectLst/>
          </c:spPr>
          <c:marker>
            <c:symbol val="x"/>
            <c:size val="6"/>
            <c:spPr>
              <a:noFill/>
              <a:ln w="9525">
                <a:solidFill>
                  <a:schemeClr val="accent4"/>
                </a:solidFill>
                <a:round/>
              </a:ln>
              <a:effectLst/>
            </c:spPr>
          </c:marker>
          <c:cat>
            <c:numRef>
              <c:f>Sheet1!$A$80:$A$101</c:f>
              <c:numCache>
                <c:formatCode>m/d/yyyy</c:formatCode>
                <c:ptCount val="22"/>
                <c:pt idx="0">
                  <c:v>46025</c:v>
                </c:pt>
                <c:pt idx="1">
                  <c:v>46032</c:v>
                </c:pt>
                <c:pt idx="2">
                  <c:v>46039</c:v>
                </c:pt>
                <c:pt idx="3">
                  <c:v>46046</c:v>
                </c:pt>
                <c:pt idx="4">
                  <c:v>46053</c:v>
                </c:pt>
                <c:pt idx="5">
                  <c:v>46060</c:v>
                </c:pt>
                <c:pt idx="6">
                  <c:v>46067</c:v>
                </c:pt>
                <c:pt idx="7">
                  <c:v>46074</c:v>
                </c:pt>
                <c:pt idx="8">
                  <c:v>46081</c:v>
                </c:pt>
                <c:pt idx="9">
                  <c:v>46088</c:v>
                </c:pt>
                <c:pt idx="10">
                  <c:v>46095</c:v>
                </c:pt>
                <c:pt idx="11">
                  <c:v>46102</c:v>
                </c:pt>
                <c:pt idx="12">
                  <c:v>46109</c:v>
                </c:pt>
                <c:pt idx="13">
                  <c:v>46116</c:v>
                </c:pt>
                <c:pt idx="14">
                  <c:v>46123</c:v>
                </c:pt>
                <c:pt idx="15">
                  <c:v>46130</c:v>
                </c:pt>
                <c:pt idx="16">
                  <c:v>46137</c:v>
                </c:pt>
                <c:pt idx="17">
                  <c:v>46144</c:v>
                </c:pt>
                <c:pt idx="18">
                  <c:v>46151</c:v>
                </c:pt>
                <c:pt idx="19">
                  <c:v>46158</c:v>
                </c:pt>
                <c:pt idx="20">
                  <c:v>46165</c:v>
                </c:pt>
                <c:pt idx="21">
                  <c:v>46172</c:v>
                </c:pt>
              </c:numCache>
            </c:numRef>
          </c:cat>
          <c:val>
            <c:numRef>
              <c:f>Sheet1!$E$80:$E$101</c:f>
              <c:numCache>
                <c:formatCode>0.00</c:formatCode>
                <c:ptCount val="22"/>
                <c:pt idx="0">
                  <c:v>230</c:v>
                </c:pt>
                <c:pt idx="1">
                  <c:v>230</c:v>
                </c:pt>
                <c:pt idx="2">
                  <c:v>215</c:v>
                </c:pt>
                <c:pt idx="3">
                  <c:v>240</c:v>
                </c:pt>
                <c:pt idx="4">
                  <c:v>235</c:v>
                </c:pt>
                <c:pt idx="5">
                  <c:v>195</c:v>
                </c:pt>
                <c:pt idx="6">
                  <c:v>170</c:v>
                </c:pt>
                <c:pt idx="7">
                  <c:v>145</c:v>
                </c:pt>
                <c:pt idx="8">
                  <c:v>155</c:v>
                </c:pt>
                <c:pt idx="9">
                  <c:v>175</c:v>
                </c:pt>
                <c:pt idx="10">
                  <c:v>215</c:v>
                </c:pt>
                <c:pt idx="11">
                  <c:v>215</c:v>
                </c:pt>
                <c:pt idx="12">
                  <c:v>185</c:v>
                </c:pt>
                <c:pt idx="13">
                  <c:v>150</c:v>
                </c:pt>
                <c:pt idx="14">
                  <c:v>132.5</c:v>
                </c:pt>
                <c:pt idx="15">
                  <c:v>155</c:v>
                </c:pt>
                <c:pt idx="16">
                  <c:v>100</c:v>
                </c:pt>
                <c:pt idx="17">
                  <c:v>160</c:v>
                </c:pt>
                <c:pt idx="18">
                  <c:v>150</c:v>
                </c:pt>
                <c:pt idx="19">
                  <c:v>135</c:v>
                </c:pt>
                <c:pt idx="20">
                  <c:v>185</c:v>
                </c:pt>
                <c:pt idx="21">
                  <c:v>175</c:v>
                </c:pt>
              </c:numCache>
            </c:numRef>
          </c:val>
          <c:smooth val="0"/>
          <c:extLst>
            <c:ext xmlns:c16="http://schemas.microsoft.com/office/drawing/2014/chart" uri="{C3380CC4-5D6E-409C-BE32-E72D297353CC}">
              <c16:uniqueId val="{00000003-16EA-4F61-8D89-48D49E0A0E81}"/>
            </c:ext>
          </c:extLst>
        </c:ser>
        <c:dLbls>
          <c:showLegendKey val="0"/>
          <c:showVal val="0"/>
          <c:showCatName val="0"/>
          <c:showSerName val="0"/>
          <c:showPercent val="0"/>
          <c:showBubbleSize val="0"/>
        </c:dLbls>
        <c:marker val="1"/>
        <c:smooth val="0"/>
        <c:axId val="440112152"/>
        <c:axId val="440111760"/>
      </c:lineChart>
      <c:dateAx>
        <c:axId val="440112152"/>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cap="all" spc="120" normalizeH="0" baseline="0">
                <a:solidFill>
                  <a:schemeClr val="tx1"/>
                </a:solidFill>
                <a:latin typeface="+mn-lt"/>
                <a:ea typeface="+mn-ea"/>
                <a:cs typeface="+mn-cs"/>
              </a:defRPr>
            </a:pPr>
            <a:endParaRPr lang="en-US"/>
          </a:p>
        </c:txPr>
        <c:crossAx val="440111760"/>
        <c:crosses val="autoZero"/>
        <c:auto val="1"/>
        <c:lblOffset val="100"/>
        <c:baseTimeUnit val="days"/>
      </c:dateAx>
      <c:valAx>
        <c:axId val="440111760"/>
        <c:scaling>
          <c:orientation val="minMax"/>
        </c:scaling>
        <c:delete val="0"/>
        <c:axPos val="l"/>
        <c:numFmt formatCode="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solidFill>
                <a:latin typeface="+mn-lt"/>
                <a:ea typeface="+mn-ea"/>
                <a:cs typeface="+mn-cs"/>
              </a:defRPr>
            </a:pPr>
            <a:endParaRPr lang="en-US"/>
          </a:p>
        </c:txPr>
        <c:crossAx val="44011215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5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sz="5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D444B-E73C-4B20-9124-AFD349564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11</Pages>
  <Words>5306</Words>
  <Characters>30249</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Murlidhar Meena</dc:creator>
  <cp:keywords/>
  <dc:description/>
  <cp:lastModifiedBy>m</cp:lastModifiedBy>
  <cp:revision>38</cp:revision>
  <cp:lastPrinted>2026-08-27T04:58:00Z</cp:lastPrinted>
  <dcterms:created xsi:type="dcterms:W3CDTF">2026-10-01T11:34:00Z</dcterms:created>
  <dcterms:modified xsi:type="dcterms:W3CDTF">2026-10-05T05:22:00Z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4c36e3849a03cb7f368582d8c90dd586532e3b75bfc592286eef8de7c9c7e87e</vt:lpwstr>
  </property>
</Properties>
</file>